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053A4" w14:textId="6A3FBF54" w:rsidR="00D4014A" w:rsidRPr="00D62F6E" w:rsidRDefault="00BC0EEE" w:rsidP="00D62F6E">
      <w:pPr>
        <w:spacing w:before="60" w:after="60" w:line="276" w:lineRule="auto"/>
        <w:jc w:val="center"/>
        <w:rPr>
          <w:b/>
          <w:bCs/>
          <w:szCs w:val="26"/>
        </w:rPr>
      </w:pPr>
      <w:r w:rsidRPr="00D62F6E">
        <w:rPr>
          <w:b/>
          <w:bCs/>
          <w:szCs w:val="26"/>
        </w:rPr>
        <w:t>Nghiên cứu lựa chọn giải pháp công nghệ hạ độ sâu tuyển nhằm tăng tỷ lệ thu hoạch quặng tinh cho nhà máy tuyển bauxit Đắk Nông</w:t>
      </w:r>
    </w:p>
    <w:p w14:paraId="37A50E3C" w14:textId="77777777" w:rsidR="00BC0EEE" w:rsidRDefault="00BC0EEE" w:rsidP="00BC0EEE">
      <w:pPr>
        <w:spacing w:before="60" w:after="60" w:line="276" w:lineRule="auto"/>
        <w:jc w:val="both"/>
      </w:pPr>
    </w:p>
    <w:p w14:paraId="75265F18" w14:textId="77777777" w:rsidR="00BC0EEE" w:rsidRPr="00BC0EEE" w:rsidRDefault="00BC0EEE" w:rsidP="00BC0EEE">
      <w:pPr>
        <w:spacing w:before="60" w:after="60" w:line="276" w:lineRule="auto"/>
        <w:jc w:val="both"/>
        <w:rPr>
          <w:b/>
          <w:bCs/>
        </w:rPr>
      </w:pPr>
      <w:r w:rsidRPr="00BC0EEE">
        <w:rPr>
          <w:b/>
          <w:bCs/>
        </w:rPr>
        <w:t>TÓM TẮT</w:t>
      </w:r>
    </w:p>
    <w:p w14:paraId="5C1B0DC2" w14:textId="77777777" w:rsidR="00BC0EEE" w:rsidRDefault="00BC0EEE" w:rsidP="00BC0EEE">
      <w:pPr>
        <w:spacing w:before="60" w:after="60" w:line="276" w:lineRule="auto"/>
        <w:jc w:val="both"/>
      </w:pPr>
      <w:r>
        <w:t>Bài báo trình bày kết quả nghiên cứu đánh giá khả năng hạ độ sâu tuyển tại Nhà máy tuyển rửa quặng bauxit Đắk Nông dựa trên kết quả phân tích thực tế tại nhà máy và cân bằng khối lượng. Kết quả khảo sát bùn thải cho thấy cấp hạt +0,25 mm chiếm khoảng 6,65% so với quặng nguyên khai và có hàm lượng Al₂O₃ từ 43–44 % và mođun silic khoảng 10, đủ tiêu chuẩn để phối trộn làm quặng tinh. Nếu thu hồi cấp +0,5 mm bằng sàng, thu hoạch quặng tinh tăng từ 48,25 % lên 50,58 %, tương ứng 66.500 tấn/năm, trong khi chất lượng quặng tinh hầu như không thay đổi (Al₂O₃ giảm 0,24 %, SiO₂ tăng 0,02 %). Dựa theo số liệu thực nghiệm, bài báo đã đưa ra ba giải pháp công nghệ hạ độ sâu tuyển, trong đó giải pháp tối ưu là sử dụng thêm sàng lỗ lưới 0,5(0,75) mm kết hợp điều chỉnh lưới sàng chính và giảm độ hạt ranh giới của máy rửa cánh vuông xuống 0,5 mm. Giải pháp này ít can thiệp vào dây chuyền, chi phí đầu tư thấp nhưng hiệu quả kinh tế – môi trường cao, phù hợp với chiến lược tận thu tài nguyên của TKV trong giai đoạn 2025–2030.</w:t>
      </w:r>
    </w:p>
    <w:p w14:paraId="513EC4AB" w14:textId="77777777" w:rsidR="00BC0EEE" w:rsidRDefault="00BC0EEE" w:rsidP="00BC0EEE">
      <w:pPr>
        <w:spacing w:before="60" w:after="60" w:line="276" w:lineRule="auto"/>
        <w:jc w:val="both"/>
      </w:pPr>
    </w:p>
    <w:p w14:paraId="700BAE08" w14:textId="77777777" w:rsidR="00BC0EEE" w:rsidRPr="00BC0EEE" w:rsidRDefault="00BC0EEE" w:rsidP="00BC0EEE">
      <w:pPr>
        <w:spacing w:before="60" w:after="60" w:line="276" w:lineRule="auto"/>
        <w:jc w:val="both"/>
        <w:rPr>
          <w:b/>
          <w:bCs/>
        </w:rPr>
      </w:pPr>
      <w:r w:rsidRPr="00BC0EEE">
        <w:rPr>
          <w:b/>
          <w:bCs/>
        </w:rPr>
        <w:t>1. ĐẶT VẤN ĐỀ</w:t>
      </w:r>
    </w:p>
    <w:p w14:paraId="0B2067EA" w14:textId="77777777" w:rsidR="00BC0EEE" w:rsidRDefault="00BC0EEE" w:rsidP="00BC0EEE">
      <w:pPr>
        <w:spacing w:before="60" w:after="60" w:line="276" w:lineRule="auto"/>
        <w:jc w:val="both"/>
      </w:pPr>
      <w:r>
        <w:t>Bauxit là nguồn quặng duy nhất để sản xuất alumin và nhôm kim loại từ quặng. Trữ lượng bauxit toàn cầu hiện nay vào khoảng 30 tỷ tấn, tập trung chủ yếu tại Guinea (25 %), Australia (20 %), Việt Nam (12 %), Brazil (9 %), Jamaica (7 %) và một số quốc gia khác như Indonesia, Guyana, Trung Quốc (3 % mỗi nước) [1]. Khoáng vật gibbsit là dạng phổ biến nhất trong quặng bauxit laterit vùng nhiệt đới (Úc, Brazil, Việt Nam), trong khi khoáng vật diaspor/boehmit là chủ yếu ở Trung Quốc và Địa Trung Hải, tại Việt Nam diaspor tập trung chủ yếu ở miền Bắc.</w:t>
      </w:r>
    </w:p>
    <w:p w14:paraId="753F2AFC" w14:textId="77777777" w:rsidR="00BC0EEE" w:rsidRDefault="00BC0EEE" w:rsidP="00BC0EEE">
      <w:pPr>
        <w:spacing w:before="60" w:after="60" w:line="276" w:lineRule="auto"/>
        <w:jc w:val="both"/>
      </w:pPr>
      <w:r>
        <w:t>Theo số liệu IAI [2], để sản xuất 1 tấn nhôm, cần khoảng 2 tấn alumin, và để sản xuất lượng alumin này cần xử lý 5–6 tấn quặng bauxit. Quá trình này tạo ra 3–4 tấn bùn đỏ, 2–5 tấn tro bay và tiêu tốn 8–12 tấn than. Vì vậy, hiệu quả tuyển rửa ban đầu có vai trò quyết định hiệu suất kinh tế – môi trường của toàn bộ chuỗi công nghiệp nhôm. Tại Việt Nam, hiện để thu được 1 tấn alumin cần khoảng 4 -5 tấn quặng nguyên khai có hàm lượng Al2O3 trên 41%.</w:t>
      </w:r>
    </w:p>
    <w:p w14:paraId="1361017B" w14:textId="77777777" w:rsidR="00BC0EEE" w:rsidRPr="00BC0EEE" w:rsidRDefault="00BC0EEE" w:rsidP="00BC0EEE">
      <w:pPr>
        <w:spacing w:before="60" w:after="60" w:line="276" w:lineRule="auto"/>
        <w:jc w:val="center"/>
        <w:rPr>
          <w:b/>
          <w:bCs/>
        </w:rPr>
      </w:pPr>
      <w:r w:rsidRPr="00BC0EEE">
        <w:rPr>
          <w:b/>
          <w:bCs/>
        </w:rPr>
        <w:t>Bảng 1. Các chỉ tiêu công nghệ tuyển của nhà máy CBA trước và sau khi hạ độ sâu tuyển</w:t>
      </w:r>
    </w:p>
    <w:tbl>
      <w:tblPr>
        <w:tblW w:w="64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000"/>
        <w:gridCol w:w="2300"/>
      </w:tblGrid>
      <w:tr w:rsidR="00BC0EEE" w:rsidRPr="00BC0EEE" w14:paraId="557CF8D1" w14:textId="77777777" w:rsidTr="00BC0EEE">
        <w:trPr>
          <w:trHeight w:val="348"/>
          <w:jc w:val="center"/>
        </w:trPr>
        <w:tc>
          <w:tcPr>
            <w:tcW w:w="2122" w:type="dxa"/>
            <w:vAlign w:val="center"/>
            <w:hideMark/>
          </w:tcPr>
          <w:p w14:paraId="32231EB2"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Chỉ tiêu</w:t>
            </w:r>
          </w:p>
        </w:tc>
        <w:tc>
          <w:tcPr>
            <w:tcW w:w="2000" w:type="dxa"/>
            <w:vAlign w:val="center"/>
            <w:hideMark/>
          </w:tcPr>
          <w:p w14:paraId="085D70DA"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Trước cải tiến</w:t>
            </w:r>
          </w:p>
        </w:tc>
        <w:tc>
          <w:tcPr>
            <w:tcW w:w="2300" w:type="dxa"/>
            <w:vAlign w:val="center"/>
            <w:hideMark/>
          </w:tcPr>
          <w:p w14:paraId="03BF1B0A"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Sau cải tiến</w:t>
            </w:r>
          </w:p>
        </w:tc>
      </w:tr>
      <w:tr w:rsidR="00BC0EEE" w:rsidRPr="00BC0EEE" w14:paraId="72D3F9CD" w14:textId="77777777" w:rsidTr="00BC0EEE">
        <w:trPr>
          <w:trHeight w:val="348"/>
          <w:jc w:val="center"/>
        </w:trPr>
        <w:tc>
          <w:tcPr>
            <w:tcW w:w="2122" w:type="dxa"/>
            <w:vAlign w:val="center"/>
            <w:hideMark/>
          </w:tcPr>
          <w:p w14:paraId="36624DE2"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Thu hoạch</w:t>
            </w:r>
          </w:p>
        </w:tc>
        <w:tc>
          <w:tcPr>
            <w:tcW w:w="2000" w:type="dxa"/>
            <w:vAlign w:val="center"/>
            <w:hideMark/>
          </w:tcPr>
          <w:p w14:paraId="7452966A"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42%</w:t>
            </w:r>
          </w:p>
        </w:tc>
        <w:tc>
          <w:tcPr>
            <w:tcW w:w="2300" w:type="dxa"/>
            <w:vAlign w:val="center"/>
            <w:hideMark/>
          </w:tcPr>
          <w:p w14:paraId="1F614D02"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59%</w:t>
            </w:r>
          </w:p>
        </w:tc>
      </w:tr>
      <w:tr w:rsidR="00BC0EEE" w:rsidRPr="00BC0EEE" w14:paraId="5ABA3CE2" w14:textId="77777777" w:rsidTr="00BC0EEE">
        <w:trPr>
          <w:trHeight w:val="348"/>
          <w:jc w:val="center"/>
        </w:trPr>
        <w:tc>
          <w:tcPr>
            <w:tcW w:w="2122" w:type="dxa"/>
            <w:vAlign w:val="center"/>
            <w:hideMark/>
          </w:tcPr>
          <w:p w14:paraId="49231087"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Thực thu Al₂O₃</w:t>
            </w:r>
          </w:p>
        </w:tc>
        <w:tc>
          <w:tcPr>
            <w:tcW w:w="2000" w:type="dxa"/>
            <w:vAlign w:val="center"/>
            <w:hideMark/>
          </w:tcPr>
          <w:p w14:paraId="613DE9FA"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61%</w:t>
            </w:r>
          </w:p>
        </w:tc>
        <w:tc>
          <w:tcPr>
            <w:tcW w:w="2300" w:type="dxa"/>
            <w:vAlign w:val="center"/>
            <w:hideMark/>
          </w:tcPr>
          <w:p w14:paraId="1F45FAFB"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90%</w:t>
            </w:r>
          </w:p>
        </w:tc>
      </w:tr>
      <w:tr w:rsidR="00BC0EEE" w:rsidRPr="00BC0EEE" w14:paraId="27C30CF8" w14:textId="77777777" w:rsidTr="00BC0EEE">
        <w:trPr>
          <w:trHeight w:val="348"/>
          <w:jc w:val="center"/>
        </w:trPr>
        <w:tc>
          <w:tcPr>
            <w:tcW w:w="2122" w:type="dxa"/>
            <w:vAlign w:val="center"/>
            <w:hideMark/>
          </w:tcPr>
          <w:p w14:paraId="35BE91CE"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Độ sâu tuyển</w:t>
            </w:r>
          </w:p>
        </w:tc>
        <w:tc>
          <w:tcPr>
            <w:tcW w:w="2000" w:type="dxa"/>
            <w:vAlign w:val="center"/>
            <w:hideMark/>
          </w:tcPr>
          <w:p w14:paraId="6AEC4E4C"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1 mm</w:t>
            </w:r>
          </w:p>
        </w:tc>
        <w:tc>
          <w:tcPr>
            <w:tcW w:w="2300" w:type="dxa"/>
            <w:vAlign w:val="center"/>
            <w:hideMark/>
          </w:tcPr>
          <w:p w14:paraId="068497DF"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0,06 mm</w:t>
            </w:r>
          </w:p>
        </w:tc>
      </w:tr>
    </w:tbl>
    <w:p w14:paraId="2617F52B" w14:textId="77777777" w:rsidR="00BC0EEE" w:rsidRDefault="00BC0EEE" w:rsidP="00BC0EEE">
      <w:pPr>
        <w:spacing w:before="60" w:after="60" w:line="276" w:lineRule="auto"/>
        <w:jc w:val="both"/>
      </w:pPr>
    </w:p>
    <w:p w14:paraId="2F0A9E09" w14:textId="77777777" w:rsidR="00BC0EEE" w:rsidRDefault="00BC0EEE" w:rsidP="00BC0EEE">
      <w:pPr>
        <w:spacing w:before="60" w:after="60" w:line="276" w:lineRule="auto"/>
        <w:jc w:val="both"/>
      </w:pPr>
    </w:p>
    <w:p w14:paraId="256410D4" w14:textId="77777777" w:rsidR="00BC0EEE" w:rsidRDefault="00BC0EEE" w:rsidP="00BC0EEE">
      <w:pPr>
        <w:spacing w:before="60" w:after="60" w:line="276" w:lineRule="auto"/>
        <w:jc w:val="both"/>
      </w:pPr>
      <w:r>
        <w:lastRenderedPageBreak/>
        <w:t>Trên thế giới, công nghệ tuyển bauxit đã có nhiều bước tiến nhằm hạ độ sâu tuyển. Điển hình tại Nhà máy CBA (Brazil), việc hạ độ sâu tuyển từ 1 mm xuống 0,06 mm bằng xiclon khử mùn sét và sàng rung tần số cao đã giúp tăng thu hoạch và thực thu Al₂O₃ lên đáng kể [3] (Bảng 1).</w:t>
      </w:r>
    </w:p>
    <w:p w14:paraId="0AE65502" w14:textId="77777777" w:rsidR="00BC0EEE" w:rsidRDefault="00BC0EEE" w:rsidP="00BC0EEE">
      <w:pPr>
        <w:spacing w:before="60" w:after="60" w:line="276" w:lineRule="auto"/>
        <w:jc w:val="both"/>
      </w:pPr>
      <w:r>
        <w:t>Từ bảng 1 nhận thấy hạ độ sâu tuyển thực thu Al₂O₃ tăng gần 30 %, điều này là minh chứng quan trọng cho hiệu quả của việc thu hồi thêm cấp hạt mịn.</w:t>
      </w:r>
    </w:p>
    <w:p w14:paraId="4157E5D9" w14:textId="77777777" w:rsidR="00BC0EEE" w:rsidRDefault="00BC0EEE" w:rsidP="00BC0EEE">
      <w:pPr>
        <w:spacing w:before="60" w:after="60" w:line="276" w:lineRule="auto"/>
        <w:jc w:val="both"/>
      </w:pPr>
      <w:r>
        <w:t>Ngoài ra, công nghệ tuyển nổi thuận và nghịch cũng đang được áp dụng rộng rãi tại Ấn Độ, Brazil, Trung Quốc để thu hồi bauxit cấp hạt mịn (-0,2 mm) [4]; [5]; [6]; [7]; [8]. Trong các giải pháp này, ranh giới tuyển 1 mm được xem là lạc hậu do phần lớn Al₂O₃ phân bố ở cấp hạt 0,25–1 mm (đặc biệt với quặng gibbsit phong hóa mạnh).</w:t>
      </w:r>
    </w:p>
    <w:p w14:paraId="6419918B" w14:textId="77777777" w:rsidR="00BC0EEE" w:rsidRDefault="00BC0EEE" w:rsidP="00BC0EEE">
      <w:pPr>
        <w:spacing w:before="60" w:after="60" w:line="276" w:lineRule="auto"/>
        <w:jc w:val="both"/>
      </w:pPr>
      <w:r>
        <w:t>Tại Công ty Nhôm Đắk Nông, dây chuyền tuyển rửa hiện tại đang duy trì độ sâu tuyển ở mức 1 mm. Theo thiết kế, nhà máy chưa đầu tư thiết bị phân cấp – tuyển cấp hạt mịn do áp dụng thiết kế truyền thống - lạc hậu nhằm giảm thiểu chi phí đầu tư. Bên cạnh đó, thiết kế này được lựa chọn để tránh các ảnh hưởng tiêu cực của bùn mịn khi tính chất quặng nguyên khai thay đổi, đồng thời mong muốn thu được quặng tinh có môđun silic cao để đảm bảo hiệu quả tối ưu cho dây chuyền công nghệ Bayer. Tuy nhiên, tính chất quặng nguyên khai hiện nay tốt hơn đáng kể so với thông số thiết kế ban đầu, đặc biệt là ở cấp hạt –1 mm [9]; [10]. Đồng thời, sau nhiều năm hoạt động, kinh nghiệm vận hành quy trình Bayer đã được nâng cao, cho phép nhà máy xử lý hiệu quả quặng tinh có môđun silic thấp hơn so với thiết kế mà không làm ảnh hưởng đến hiệu quả sản xuất. Do đó, việc duy trì độ sâu tuyển đến 1mm sẽ làm mất mát một lượng đáng kể quặng tinh cấp hạt mịn giàu gibbsit ra hồ chứa quặng đuôi.</w:t>
      </w:r>
    </w:p>
    <w:p w14:paraId="43F167EC" w14:textId="77777777" w:rsidR="00BC0EEE" w:rsidRDefault="00BC0EEE" w:rsidP="00BC0EEE">
      <w:pPr>
        <w:spacing w:before="60" w:after="60" w:line="276" w:lineRule="auto"/>
        <w:jc w:val="both"/>
      </w:pPr>
      <w:r>
        <w:t>Các nghiên cứu trong nước gần đây đã bắt đầu quan tâm đến vấn đề này. Nguyễn Văn Minh và các cộng sự [9] đã thử nghiệm việc sử dụng máy phân cấp ruột xoắn để thu hồi quặng tinh từ đuôi thải của xưởng tuyển rửa tại Công ty Nhôm Lâm Đồng; tuy nhiên, hiệu quả bị hạn chế do bùn quá loãng và tạp chất hữu cơ chưa được loại bỏ. Phạm Văn Luận và các cộng sự cũng [10] đã cung cấp những đánh giá toàn diện về đặc tính khoáng vật của loại bùn thải này, chỉ ra rằng cấp hạt +0,25 mm có môđun silic xấp xỉ 12. Mặc dù các nghiên cứu này đã cung cấp cơ sở khoa học sơ bộ, nhưng chúng vẫn thiếu một hệ thống tính toán cân bằng khối lượng cũng như một sơ đồ công nghệ cải tạo khả thi về mặt kinh tế - kỹ thuật. Để khắc phục những nhược điểm trên, nghiên cứu này tập trung đánh giá định lượng và khả năng thu hồi quặng tinh cấp hạt mịn từ đuôi thải hiện tại và đề xuất một giải pháp công nghệ trực tiếp, chi phí đầu tư thấp nhằm hạ độ sâu tuyển cho dây chuyền tuyển rửa tại Công ty Nhôm Đắk Nông – TKV.</w:t>
      </w:r>
    </w:p>
    <w:p w14:paraId="1F2CAE31" w14:textId="77777777" w:rsidR="00BC0EEE" w:rsidRDefault="00BC0EEE" w:rsidP="00BC0EEE">
      <w:pPr>
        <w:spacing w:before="60" w:after="60" w:line="276" w:lineRule="auto"/>
        <w:jc w:val="both"/>
      </w:pPr>
      <w:r>
        <w:t xml:space="preserve">Ngoài ra, theo Quy hoạch 866/QĐ-TTg (2023), công suất của nhà máy Alumin Lâm Đồng và Đắk Nông sẽ được mở rộng lên 2 triệu tấn/năm. Tuy nhiên, dây chuyền tuyển rửa hiện tại của Công ty Nhôm Đắk Nông và Lâm Đồng vẫn đang duy trì ranh giới phân tách quặng tinh và đuôi thải ở mức 1 mm. Điều này dẫn đến toàn bộ phần vật liệu dưới 1 mm, bao gồm cả các cấp hạt 0,5–1 mm và 0,25–0,5 mm giàu Al₂O₃, bị thải bỏ. Việc không tách riêng và tận thu cấp hạt mịn gây ra hàng loạt hạn chế: (1) Tổn thất tài nguyên </w:t>
      </w:r>
      <w:r>
        <w:lastRenderedPageBreak/>
        <w:t>trung bình 50–190 nghìn tấn/năm; (2) gia tăng diện tích bãi thải bùn; (3) lãng phí chi phí khai thác; (4) nguy cơ không đáp ứng đủ quặng tinh cho mục tiêu mở rộng dự án.</w:t>
      </w:r>
    </w:p>
    <w:p w14:paraId="10233F08" w14:textId="77777777" w:rsidR="00BC0EEE" w:rsidRDefault="00BC0EEE" w:rsidP="00BC0EEE">
      <w:pPr>
        <w:spacing w:before="60" w:after="60" w:line="276" w:lineRule="auto"/>
        <w:jc w:val="both"/>
      </w:pPr>
      <w:r>
        <w:t>Do đó, mục tiêu của nghiên cứu này là đánh giá định lượng tiềm năng thu hồi quặng tinh mịn từ bùn thải và đề xuất giải pháp công nghệ hạ độ sâu tuyển phù hợp cho Nhà máy tuyển rửa quặng bauxit Đắk Nông, nhằm nâng cao tỷ lệ thu hoạch, bảo đảm an ninh tài nguyên và tối ưu hóa hiệu quả kinh tế – môi trường.</w:t>
      </w:r>
    </w:p>
    <w:p w14:paraId="3335D658" w14:textId="77777777" w:rsidR="00BC0EEE" w:rsidRPr="00BC0EEE" w:rsidRDefault="00BC0EEE" w:rsidP="00BC0EEE">
      <w:pPr>
        <w:spacing w:before="60" w:after="60" w:line="276" w:lineRule="auto"/>
        <w:jc w:val="both"/>
        <w:rPr>
          <w:b/>
          <w:bCs/>
        </w:rPr>
      </w:pPr>
      <w:r w:rsidRPr="00BC0EEE">
        <w:rPr>
          <w:b/>
          <w:bCs/>
        </w:rPr>
        <w:t>2. DỮ LIỆU VÀ PHƯƠNG PHÁP NGHIÊN CỨU</w:t>
      </w:r>
    </w:p>
    <w:p w14:paraId="336CCFE7" w14:textId="77777777" w:rsidR="00BC0EEE" w:rsidRPr="00BC0EEE" w:rsidRDefault="00BC0EEE" w:rsidP="00BC0EEE">
      <w:pPr>
        <w:spacing w:before="60" w:after="60" w:line="276" w:lineRule="auto"/>
        <w:jc w:val="both"/>
        <w:rPr>
          <w:b/>
          <w:bCs/>
        </w:rPr>
      </w:pPr>
      <w:r w:rsidRPr="00BC0EEE">
        <w:rPr>
          <w:b/>
          <w:bCs/>
        </w:rPr>
        <w:t xml:space="preserve">2.1. Đối tượng nghiên cứu </w:t>
      </w:r>
    </w:p>
    <w:p w14:paraId="707093E7" w14:textId="77777777" w:rsidR="00BC0EEE" w:rsidRDefault="00BC0EEE" w:rsidP="00BC0EEE">
      <w:pPr>
        <w:spacing w:before="60" w:after="60" w:line="276" w:lineRule="auto"/>
        <w:jc w:val="both"/>
      </w:pPr>
      <w:r>
        <w:t>Nghiên cứu được thực hiện trên đối tượng là quặng nguyên khai và dòng bùn thải tại Nhà máy tuyển rửa quặng bauxit của Công ty Nhôm Đắk Nông. Quặng nguyên khai là loại laterit – gibbsit khai thác lộ thiên từ tầng phong hóa bazan, cỡ hạt tối đa đến 300 mm, độ ẩm trung bình 21,1%, sản lượng cấp vào xưởng là 2.854.091 tấn/năm (khối lượng khô) với hàm lượng Al₂O₃ trung bình ~41% [11].</w:t>
      </w:r>
    </w:p>
    <w:p w14:paraId="29E6ED98" w14:textId="77777777" w:rsidR="00BC0EEE" w:rsidRPr="00BC0EEE" w:rsidRDefault="00BC0EEE" w:rsidP="00BC0EEE">
      <w:pPr>
        <w:spacing w:before="60" w:after="60" w:line="276" w:lineRule="auto"/>
        <w:jc w:val="both"/>
        <w:rPr>
          <w:b/>
          <w:bCs/>
        </w:rPr>
      </w:pPr>
      <w:r w:rsidRPr="00BC0EEE">
        <w:rPr>
          <w:b/>
          <w:bCs/>
        </w:rPr>
        <w:t xml:space="preserve">2.2. Dây chuyền công nghệ tuyển hiện tại </w:t>
      </w:r>
    </w:p>
    <w:p w14:paraId="1B35B09F" w14:textId="77777777" w:rsidR="00BC0EEE" w:rsidRDefault="00BC0EEE" w:rsidP="00BC0EEE">
      <w:pPr>
        <w:spacing w:before="60" w:after="60" w:line="276" w:lineRule="auto"/>
        <w:jc w:val="both"/>
      </w:pPr>
      <w:r>
        <w:t>Dây chuyền tuyển rửa hiện tại (hình 1) hoạt động theo nguyên tắc: đập – đánh tơi – rửa mùn sét – sàng phân cấp. Quặng nguyên khai qua máy đập (50-100 mm) được đưa qua sàng tang quay (-30 mm), sau đó đi vào máy rửa cánh vuông. Dòng tràn máy rửa cánh vuông là bùn sét nguyên khai (chứa rác hữu cơ, hạt mịn). Sản phẩm cát của máy rửa và phần +30 mm tiếp tục qua sàng rung rửa. Tại đây, ranh giới phân tách được thiết lập là 1 mm: cấp hạt +1 mm thu hồi làm quặng tinh; cấp hạt –1 mm gộp cùng dòng tràn máy rửa tạo thành đuôi thải đưa về hồ cô đặc [11].</w:t>
      </w:r>
    </w:p>
    <w:p w14:paraId="75C5736A" w14:textId="77777777" w:rsidR="00BC0EEE" w:rsidRDefault="00BC0EEE" w:rsidP="00BC0EEE">
      <w:pPr>
        <w:spacing w:before="60" w:after="60" w:line="276" w:lineRule="auto"/>
        <w:jc w:val="both"/>
      </w:pPr>
      <w:r>
        <w:t>Hệ thống hiện tại chưa được trang bị các thiết bị phân cấp mịn (xiclon, máy phân cấp ruột xoắn) hay tuyển trọng lực, tuyển nổi để xử lý các cấp hạt 0,25–1 mm và -0,25mm.</w:t>
      </w:r>
    </w:p>
    <w:p w14:paraId="32E9976E" w14:textId="77777777" w:rsidR="00BC0EEE" w:rsidRPr="00BC0EEE" w:rsidRDefault="00BC0EEE" w:rsidP="00BC0EEE">
      <w:pPr>
        <w:spacing w:before="60" w:after="60" w:line="276" w:lineRule="auto"/>
        <w:jc w:val="both"/>
        <w:rPr>
          <w:b/>
          <w:bCs/>
        </w:rPr>
      </w:pPr>
      <w:r w:rsidRPr="00BC0EEE">
        <w:rPr>
          <w:b/>
          <w:bCs/>
        </w:rPr>
        <w:t>2.3. Những hạn chế của sơ đồ công nghệ tuyển hiện tại</w:t>
      </w:r>
    </w:p>
    <w:p w14:paraId="46631C6B" w14:textId="77777777" w:rsidR="00BC0EEE" w:rsidRDefault="00BC0EEE" w:rsidP="00BC0EEE">
      <w:pPr>
        <w:spacing w:before="60" w:after="60" w:line="276" w:lineRule="auto"/>
        <w:jc w:val="both"/>
      </w:pPr>
      <w:r>
        <w:t>Mặc dù, quặng tinh bauxit sau tuyển được thiết kế thu hồi ở cỡ hạt dưới 25 mm và trên 1 mm, với khối lượng 1.412.775 tấn/năm (quặng khô) và chất lượng sản phẩm quặng tinh đáp ứng các yêu cầu khắt khe của công nghệ Bayer nhiệt độ thấp [12]. Hàm lượng Al₂O₃ trong quặng tinh thiết kế đạt tối thiểu 49,93 %, hàm lượng SiO₂ tối đa 3,5 %, Fe₂O₃ khoảng 17 % và TiO₂ khoảng 2,7 %, cùng với độ ẩm sản phẩm khoảng 12 %. Các chỉ tiêu này đảm bảo môđun silic (A/S) của quặng tinh đạt trên 12, phù hợp với yêu cầu sản xuất alumin [11].</w:t>
      </w:r>
    </w:p>
    <w:p w14:paraId="63461D52" w14:textId="77777777" w:rsidR="00BC0EEE" w:rsidRDefault="00BC0EEE" w:rsidP="00BC0EEE">
      <w:pPr>
        <w:spacing w:before="60" w:after="60" w:line="276" w:lineRule="auto"/>
        <w:jc w:val="both"/>
      </w:pPr>
      <w:r>
        <w:t xml:space="preserve">Tuy nhiên, từ sơ đồ công nghệ và số liệu vận hành, có thể chỉ ra những hạn chế của dây chuyền công nghệ tuyển hiện nay: Thứ nhất, ranh giới phân tách quặng tinh – đuôi thải hiện nay được xác lập hoàn toàn bằng kích thước lỗ lưới 1 mm của sàng rung rửa. Điều này dẫn đến việc toàn bộ phần vật liệu có kích thước dưới 1 mm, bao gồm cả các hạt 0,5–1 mm và 0,25–0,5 mm giàu Al₂O₃, đều đi vào đuôi thải. Trong khi quặng bauxit laterit gibbsit thường có phần Al₂O₃ phân bố khá nhiều ở cấp hạt 0,25–1 mm, việc lựa chọn ranh giới 1 mm là một lựa chọn mang tính truyền thống hơn là phương án tối ưu về tận thu tài nguyên [3]; 13]. Thứ hai, hai sản phẩm bùn thải chính gồm tràn máy rửa cánh vuông và dưới sàng rung rửa có đặc điểm rất khác nhau nhưng hiện tại đều được </w:t>
      </w:r>
      <w:r>
        <w:lastRenderedPageBreak/>
        <w:t>gom chung và thải xuống hồ. Bùn tràn từ máy rửa cánh vuông chứa nhiều mùn sét nguyên khai và rác hữu cơ, hàm lượng Al₂O₃ không cao, trong khi bùn dưới sàng rung rửa là sản phẩm của giai đoạn đã được đập – rửa, chứa ít sét hơn và có hàm lượng Al₂O₃ cao hơn đáng kể. Việc không tách riêng hai dòng này làm mất đi cơ hội tận dụng bùn “giàu” có thể thu hồi dễ dàng bằng các thiết bị phân loại hoặc tuyển trọng lực đơn giản. Thứ ba, dây chuyền hiện tại chưa được trang bị các thiết bị phân cấp mịn như xiclon hoặc máy phân cấp ruột xoắn dành riêng cho vùng kích thước 0,25–1 mm, cũng như chưa có các khâu tuyển nổi hoặc tuyển từ cho phần hạt mịn. Điều này trái ngược với các sơ đồ tuyển rửa tiên tiến trên thế giới, nơi xiclon, sàng rung tần số cao và tuyển nổi được sử dụng để hạ độ sâu tuyển đến 0,1–0,06 mm, qua đó nâng thực thu Al₂O₃ lên trên 80–90 % [3]; [14]. Sự thiếu vắng các thiết bị này tại Đắk Nông là nguyên nhân trực tiếp khiến gần 190.000 tấn/năm vật liệu giàu Al₂O₃(nếu lấy đến cấp hạt 0,25mm) bị thải bỏ dưới dạng bùn. Thứ tư, việc giữ nguyên độ sâu tuyển ở mức 1 mm còn kéo theo nhiều hệ quả môi trường và kinh tế. Để xử lý gần 1,5 triệu tấn bùn khô/năm, hồ thải phải liên tục mở rộng, chiếm dụng thêm hàng chục ha đất mỗi năm, đồng thời tăng chi phí đền bù, hoàn thổ và quản lý môi trường. Trong khi đó, các phân tích cân bằng cho thấy nếu hạ độ sâu tuyển xuống 0,5 mm và xây dựng sơ đồ tận thu hợp lý, có thể giảm đáng kể khối lượng bùn thải phải chứa trong hồ, đồng thời tiết kiệm chi phí khai thác quặng nguyên khai nhờ tận thu tài nguyên từ chính bùn thải. Từ những phân tích trên có thể kết luận rằng, điều kiện công nghệ hiện tại của Nhà máy tuyển rửa Đắk Nông, mặc dù đạt và tiệm cận các chỉ tiêu thiết kế ban đầu, song lại bộc lộ những hạn chế rõ ràng khi đặt trong bối cảnh yêu cầu tận thu tài nguyên, hạ độ sâu tuyển và nâng cao hiệu quả kinh tế – môi trường. Đây chính là cơ sở khoa học và thực tiễn để đề xuất các giải pháp hạ độ sâu tuyển, bổ sung thiết bị phân cấp – tuyển cấp hạt mịn và tối ưu hóa lại sơ đồ công nghệ trong các phần tiếp theo của bài báo.</w:t>
      </w:r>
    </w:p>
    <w:p w14:paraId="13DFB493" w14:textId="60ABAD1C" w:rsidR="00BC0EEE" w:rsidRDefault="00BC0EEE" w:rsidP="00BC0EEE">
      <w:pPr>
        <w:spacing w:before="60" w:after="60" w:line="276" w:lineRule="auto"/>
        <w:jc w:val="both"/>
      </w:pPr>
      <w:r>
        <w:t xml:space="preserve"> </w:t>
      </w:r>
      <w:r w:rsidRPr="000A34AF">
        <w:rPr>
          <w:rFonts w:ascii="Arial" w:hAnsi="Arial" w:cs="Arial"/>
          <w:sz w:val="21"/>
          <w:szCs w:val="21"/>
        </w:rPr>
        <w:object w:dxaOrig="11616" w:dyaOrig="7020" w14:anchorId="4E8F0B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25pt;height:247.7pt" o:ole="">
            <v:imagedata r:id="rId5" o:title=""/>
          </v:shape>
          <o:OLEObject Type="Embed" ProgID="Visio.Drawing.15" ShapeID="_x0000_i1025" DrawAspect="Content" ObjectID="_1845722513" r:id="rId6"/>
        </w:object>
      </w:r>
    </w:p>
    <w:p w14:paraId="081F2075" w14:textId="77777777" w:rsidR="00BC0EEE" w:rsidRDefault="00BC0EEE" w:rsidP="00BC0EEE">
      <w:pPr>
        <w:spacing w:before="60" w:after="60" w:line="276" w:lineRule="auto"/>
        <w:jc w:val="center"/>
      </w:pPr>
      <w:r>
        <w:t>Hình 1. Sơ đồ công nghệ tuyển rửa của Công ty Nhôm Đắk Nông</w:t>
      </w:r>
    </w:p>
    <w:p w14:paraId="2D2CCCB2" w14:textId="77777777" w:rsidR="00BC0EEE" w:rsidRPr="00BC0EEE" w:rsidRDefault="00BC0EEE" w:rsidP="00BC0EEE">
      <w:pPr>
        <w:spacing w:before="60" w:after="60" w:line="276" w:lineRule="auto"/>
        <w:jc w:val="both"/>
        <w:rPr>
          <w:b/>
          <w:bCs/>
        </w:rPr>
      </w:pPr>
      <w:r w:rsidRPr="00BC0EEE">
        <w:rPr>
          <w:b/>
          <w:bCs/>
        </w:rPr>
        <w:t>2.4. Phương pháp nghiên cứu</w:t>
      </w:r>
    </w:p>
    <w:p w14:paraId="2AB5983D" w14:textId="77777777" w:rsidR="00BC0EEE" w:rsidRDefault="00BC0EEE" w:rsidP="00BC0EEE">
      <w:pPr>
        <w:spacing w:before="60" w:after="60" w:line="276" w:lineRule="auto"/>
        <w:jc w:val="both"/>
      </w:pPr>
      <w:r>
        <w:lastRenderedPageBreak/>
        <w:t>Phương pháp lấy mẫu: Mẫu bùn thải thực tế được lấy mẫu tại hệ thống xả thải của nhà máy bằng phương pháp cắt dọc dòng. Mỗi ca lấy 3 mẫu (đầu ca, giữa ca và cuối ca), mỗi mẫu lấy khoảng 100 lít bùn. Tiến hành lấy mẫu gộp theo ca và theo ngày liên tục trong suốt tháng 3/2025, các mẫu sau đó được để lắng đọng tự nhiên, gạn nước trong và gom thành mẫu chung cho cả tháng. Tổng khối lượng mẫu sau đó được chia đều, giản lược xuống còn khoảng 200 lít để tiến hành các thí nghiệm phân tích rây.</w:t>
      </w:r>
    </w:p>
    <w:p w14:paraId="139E3241" w14:textId="77777777" w:rsidR="00BC0EEE" w:rsidRDefault="00BC0EEE" w:rsidP="00BC0EEE">
      <w:pPr>
        <w:spacing w:before="60" w:after="60" w:line="276" w:lineRule="auto"/>
        <w:jc w:val="both"/>
      </w:pPr>
      <w:r>
        <w:t>Phương pháp phân tích thực nghiệm: Mẫu được tiến hành rây phân tích thành phần độ hạt bằng bộ rây có kích thước lỗ lưới là: 1 mm; 0,75 mm; 0,5 mm và 0,25 mm. Mẫu sau khi rây được sấy khô, cân xác định trọng lượng và phân tích hàm lượng của các oxit chính (Al₂O₃, SiO₂, Fe₂O₃) trong từng cấp hạt được phân tích bằng phương pháp hoá học.</w:t>
      </w:r>
    </w:p>
    <w:p w14:paraId="36FAB624" w14:textId="77777777" w:rsidR="00BC0EEE" w:rsidRDefault="00BC0EEE" w:rsidP="00BC0EEE">
      <w:pPr>
        <w:spacing w:before="60" w:after="60" w:line="276" w:lineRule="auto"/>
        <w:jc w:val="both"/>
      </w:pPr>
      <w:r>
        <w:t>Phương pháp cân bằng khối lượng và tính toán mô phỏng: Dựa trên số liệu thiết kế ban đầu và số liệu sản xuất thực tế tháng 3/2025 (năng suất quặng nguyên khai, tỷ lệ L/R và lưu lượng bùn bơm ra hồ thải), tiến hành tính toán cân bằng khối lượng để xác định thu hoạch của từng cấp hạt so với quặng nguyên khai. Sau đó, tính toán phối trộn quặng tinh thu được trong tháng 3/2025 (+1 mm) với phần quặng mịn thu hồi (+0,5 mm và +0,75 mm) để đánh giá sự thay đổi về chất lượng (hàm lượng các oxit, môđun silic) và thu hoạch của quặng tinh.</w:t>
      </w:r>
    </w:p>
    <w:p w14:paraId="4B2A4457" w14:textId="77777777" w:rsidR="00BC0EEE" w:rsidRDefault="00BC0EEE" w:rsidP="00BC0EEE">
      <w:pPr>
        <w:spacing w:before="60" w:after="60" w:line="276" w:lineRule="auto"/>
        <w:jc w:val="both"/>
      </w:pPr>
      <w:r>
        <w:t>Độ tin cậy của việc lấy mẫu và phân tích: Để đảm bảo độ tin cậy thống kê và tính đại diện của dữ liệu, các mẫu bùn thải được thu thập liên tục qua ba ca làm việc (đầu ca, giữa ca và cuối ca) trong suốt tháng 3/2025. Tất cả các thao tác lấy mẫu đều được thực hiện lặp lại ba lần. Thành phần hóa học (Al₂O₃, SiO₂, Fe₂O₃) của từng cấp hạt được phân tích bằng phương pháp huỳnh quang tia X (XRF) tiêu chuẩn và được kiểm chứng bằng phương pháp chuẩn độ hóa học ướt. Biên độ sai số phân tích được kiểm soát ở mức &lt; ±1,5%.</w:t>
      </w:r>
    </w:p>
    <w:p w14:paraId="2F8C9F77" w14:textId="77777777" w:rsidR="00BC0EEE" w:rsidRDefault="00BC0EEE" w:rsidP="00BC0EEE">
      <w:pPr>
        <w:spacing w:before="60" w:after="60" w:line="276" w:lineRule="auto"/>
        <w:jc w:val="both"/>
      </w:pPr>
      <w:r>
        <w:t>3. KẾT QUẢ VÀ THẢO LUẬN</w:t>
      </w:r>
    </w:p>
    <w:p w14:paraId="40CE5440" w14:textId="77777777" w:rsidR="00BC0EEE" w:rsidRDefault="00BC0EEE" w:rsidP="00BC0EEE">
      <w:pPr>
        <w:spacing w:before="60" w:after="60" w:line="276" w:lineRule="auto"/>
        <w:jc w:val="both"/>
      </w:pPr>
      <w:r>
        <w:t>3.1. Kết quả nghiên cứu</w:t>
      </w:r>
    </w:p>
    <w:p w14:paraId="4682E1AF" w14:textId="77777777" w:rsidR="00BC0EEE" w:rsidRDefault="00BC0EEE" w:rsidP="00BC0EEE">
      <w:pPr>
        <w:spacing w:before="60" w:after="60" w:line="276" w:lineRule="auto"/>
        <w:jc w:val="both"/>
      </w:pPr>
      <w:r>
        <w:t xml:space="preserve">3.1.1. Các chỉ tiêu công nghệ và hiện trạng bùn thải </w:t>
      </w:r>
    </w:p>
    <w:p w14:paraId="2618C686" w14:textId="77777777" w:rsidR="00BC0EEE" w:rsidRDefault="00BC0EEE" w:rsidP="00BC0EEE">
      <w:pPr>
        <w:spacing w:before="60" w:after="60" w:line="276" w:lineRule="auto"/>
        <w:jc w:val="both"/>
      </w:pPr>
      <w:r>
        <w:t>Dựa trên tài liệu thiết kế và kết quả vận hành, bảng 2 trình bày các thông số khối lượng và chất lượng của dây chuyền hiện tại. Xưởng tuyển thu hồi được khoảng 49,5–50% khối lượng quặng tinh (Al₂O₃ ≥ 49,93%, SiO₂ ≤ 3,5%), phần còn lại thải bỏ dưới dạng đuôi thải (Al₂O₃ ~31,5%) [11].</w:t>
      </w:r>
    </w:p>
    <w:p w14:paraId="1F84D541" w14:textId="77777777" w:rsidR="00BC0EEE" w:rsidRPr="00BC0EEE" w:rsidRDefault="00BC0EEE" w:rsidP="00BC0EEE">
      <w:pPr>
        <w:spacing w:before="60" w:after="60" w:line="276" w:lineRule="auto"/>
        <w:jc w:val="both"/>
        <w:rPr>
          <w:b/>
          <w:bCs/>
        </w:rPr>
      </w:pPr>
      <w:r w:rsidRPr="00BC0EEE">
        <w:rPr>
          <w:b/>
          <w:bCs/>
        </w:rPr>
        <w:t>Bảng 2. Các chỉ tiêu thiết kế chính của xưởng tuyển rửa Công ty Nhôm Đắk Nông</w:t>
      </w: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0"/>
        <w:gridCol w:w="2913"/>
        <w:gridCol w:w="1701"/>
        <w:gridCol w:w="1843"/>
      </w:tblGrid>
      <w:tr w:rsidR="00BC0EEE" w:rsidRPr="00BC0EEE" w14:paraId="111A1B56" w14:textId="77777777" w:rsidTr="008A2E66">
        <w:trPr>
          <w:trHeight w:val="348"/>
          <w:jc w:val="center"/>
        </w:trPr>
        <w:tc>
          <w:tcPr>
            <w:tcW w:w="1760" w:type="dxa"/>
            <w:vAlign w:val="center"/>
            <w:hideMark/>
          </w:tcPr>
          <w:p w14:paraId="79EA5D0F"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Loại quặng</w:t>
            </w:r>
          </w:p>
        </w:tc>
        <w:tc>
          <w:tcPr>
            <w:tcW w:w="2913" w:type="dxa"/>
            <w:vAlign w:val="center"/>
            <w:hideMark/>
          </w:tcPr>
          <w:p w14:paraId="2F00F7DE"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Thông số</w:t>
            </w:r>
          </w:p>
        </w:tc>
        <w:tc>
          <w:tcPr>
            <w:tcW w:w="1701" w:type="dxa"/>
            <w:vAlign w:val="center"/>
            <w:hideMark/>
          </w:tcPr>
          <w:p w14:paraId="5331DD62"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Đơn vị</w:t>
            </w:r>
          </w:p>
        </w:tc>
        <w:tc>
          <w:tcPr>
            <w:tcW w:w="1843" w:type="dxa"/>
            <w:vAlign w:val="center"/>
            <w:hideMark/>
          </w:tcPr>
          <w:p w14:paraId="3B06DB5C"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Giá trị thiết kế</w:t>
            </w:r>
          </w:p>
        </w:tc>
      </w:tr>
      <w:tr w:rsidR="00BC0EEE" w:rsidRPr="00BC0EEE" w14:paraId="412D3A6E" w14:textId="77777777" w:rsidTr="008A2E66">
        <w:trPr>
          <w:trHeight w:val="321"/>
          <w:jc w:val="center"/>
        </w:trPr>
        <w:tc>
          <w:tcPr>
            <w:tcW w:w="1760" w:type="dxa"/>
            <w:vMerge w:val="restart"/>
            <w:vAlign w:val="center"/>
            <w:hideMark/>
          </w:tcPr>
          <w:p w14:paraId="31976D96"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Quặng nguyên khai</w:t>
            </w:r>
          </w:p>
          <w:p w14:paraId="1953E7F0" w14:textId="77777777" w:rsidR="00BC0EEE" w:rsidRPr="00BC0EEE" w:rsidRDefault="00BC0EEE" w:rsidP="008A2E66">
            <w:pPr>
              <w:spacing w:after="60" w:line="240" w:lineRule="auto"/>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 </w:t>
            </w:r>
          </w:p>
          <w:p w14:paraId="42F5B0DD" w14:textId="77777777" w:rsidR="00BC0EEE" w:rsidRPr="00BC0EEE" w:rsidRDefault="00BC0EEE" w:rsidP="008A2E66">
            <w:pPr>
              <w:spacing w:after="60" w:line="240" w:lineRule="auto"/>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 </w:t>
            </w:r>
          </w:p>
          <w:p w14:paraId="668EDD7B" w14:textId="77777777" w:rsidR="00BC0EEE" w:rsidRPr="00BC0EEE" w:rsidRDefault="00BC0EEE" w:rsidP="008A2E66">
            <w:pPr>
              <w:spacing w:after="60" w:line="240" w:lineRule="auto"/>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 </w:t>
            </w:r>
          </w:p>
        </w:tc>
        <w:tc>
          <w:tcPr>
            <w:tcW w:w="2913" w:type="dxa"/>
            <w:vAlign w:val="center"/>
            <w:hideMark/>
          </w:tcPr>
          <w:p w14:paraId="11D3B7AA"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Cỡ hạt tối đa</w:t>
            </w:r>
          </w:p>
        </w:tc>
        <w:tc>
          <w:tcPr>
            <w:tcW w:w="1701" w:type="dxa"/>
            <w:vAlign w:val="center"/>
            <w:hideMark/>
          </w:tcPr>
          <w:p w14:paraId="0239B187"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mm</w:t>
            </w:r>
          </w:p>
        </w:tc>
        <w:tc>
          <w:tcPr>
            <w:tcW w:w="1843" w:type="dxa"/>
            <w:vAlign w:val="center"/>
            <w:hideMark/>
          </w:tcPr>
          <w:p w14:paraId="7A5C476E"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 300</w:t>
            </w:r>
          </w:p>
        </w:tc>
      </w:tr>
      <w:tr w:rsidR="00BC0EEE" w:rsidRPr="00BC0EEE" w14:paraId="389C5ADB" w14:textId="77777777" w:rsidTr="008A2E66">
        <w:trPr>
          <w:trHeight w:val="348"/>
          <w:jc w:val="center"/>
        </w:trPr>
        <w:tc>
          <w:tcPr>
            <w:tcW w:w="1760" w:type="dxa"/>
            <w:vMerge/>
            <w:vAlign w:val="center"/>
            <w:hideMark/>
          </w:tcPr>
          <w:p w14:paraId="7F2754EA" w14:textId="77777777" w:rsidR="00BC0EEE" w:rsidRPr="00BC0EEE" w:rsidRDefault="00BC0EEE" w:rsidP="008A2E66">
            <w:pPr>
              <w:spacing w:after="60" w:line="240" w:lineRule="auto"/>
              <w:rPr>
                <w:rFonts w:eastAsia="Times New Roman" w:cs="Times New Roman"/>
                <w:color w:val="000000"/>
                <w:kern w:val="0"/>
                <w:szCs w:val="26"/>
                <w14:ligatures w14:val="none"/>
              </w:rPr>
            </w:pPr>
          </w:p>
        </w:tc>
        <w:tc>
          <w:tcPr>
            <w:tcW w:w="2913" w:type="dxa"/>
            <w:vAlign w:val="center"/>
            <w:hideMark/>
          </w:tcPr>
          <w:p w14:paraId="22F195BD"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Độ ẩm</w:t>
            </w:r>
          </w:p>
        </w:tc>
        <w:tc>
          <w:tcPr>
            <w:tcW w:w="1701" w:type="dxa"/>
            <w:vAlign w:val="center"/>
            <w:hideMark/>
          </w:tcPr>
          <w:p w14:paraId="290A2989"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c>
          <w:tcPr>
            <w:tcW w:w="1843" w:type="dxa"/>
            <w:vAlign w:val="center"/>
            <w:hideMark/>
          </w:tcPr>
          <w:p w14:paraId="05E83741"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21,1</w:t>
            </w:r>
          </w:p>
        </w:tc>
      </w:tr>
      <w:tr w:rsidR="00BC0EEE" w:rsidRPr="00BC0EEE" w14:paraId="684ECDD0" w14:textId="77777777" w:rsidTr="008A2E66">
        <w:trPr>
          <w:trHeight w:val="331"/>
          <w:jc w:val="center"/>
        </w:trPr>
        <w:tc>
          <w:tcPr>
            <w:tcW w:w="1760" w:type="dxa"/>
            <w:vMerge/>
            <w:vAlign w:val="center"/>
            <w:hideMark/>
          </w:tcPr>
          <w:p w14:paraId="61565DC5" w14:textId="77777777" w:rsidR="00BC0EEE" w:rsidRPr="00BC0EEE" w:rsidRDefault="00BC0EEE" w:rsidP="008A2E66">
            <w:pPr>
              <w:spacing w:after="60" w:line="240" w:lineRule="auto"/>
              <w:rPr>
                <w:rFonts w:eastAsia="Times New Roman" w:cs="Times New Roman"/>
                <w:color w:val="000000"/>
                <w:kern w:val="0"/>
                <w:szCs w:val="26"/>
                <w14:ligatures w14:val="none"/>
              </w:rPr>
            </w:pPr>
          </w:p>
        </w:tc>
        <w:tc>
          <w:tcPr>
            <w:tcW w:w="2913" w:type="dxa"/>
            <w:vAlign w:val="center"/>
            <w:hideMark/>
          </w:tcPr>
          <w:p w14:paraId="49584314"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Khối lượng khô vào sản xuất</w:t>
            </w:r>
          </w:p>
        </w:tc>
        <w:tc>
          <w:tcPr>
            <w:tcW w:w="1701" w:type="dxa"/>
            <w:vAlign w:val="center"/>
            <w:hideMark/>
          </w:tcPr>
          <w:p w14:paraId="5A124169"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tấn/năm</w:t>
            </w:r>
          </w:p>
        </w:tc>
        <w:tc>
          <w:tcPr>
            <w:tcW w:w="1843" w:type="dxa"/>
            <w:vAlign w:val="center"/>
            <w:hideMark/>
          </w:tcPr>
          <w:p w14:paraId="09644F9C"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2.854.091</w:t>
            </w:r>
          </w:p>
        </w:tc>
      </w:tr>
      <w:tr w:rsidR="00BC0EEE" w:rsidRPr="00BC0EEE" w14:paraId="75EB7DDB" w14:textId="77777777" w:rsidTr="008A2E66">
        <w:trPr>
          <w:trHeight w:val="348"/>
          <w:jc w:val="center"/>
        </w:trPr>
        <w:tc>
          <w:tcPr>
            <w:tcW w:w="1760" w:type="dxa"/>
            <w:vMerge/>
            <w:vAlign w:val="center"/>
            <w:hideMark/>
          </w:tcPr>
          <w:p w14:paraId="323AA2F8" w14:textId="77777777" w:rsidR="00BC0EEE" w:rsidRPr="00BC0EEE" w:rsidRDefault="00BC0EEE" w:rsidP="008A2E66">
            <w:pPr>
              <w:spacing w:after="60" w:line="240" w:lineRule="auto"/>
              <w:rPr>
                <w:rFonts w:eastAsia="Times New Roman" w:cs="Times New Roman"/>
                <w:color w:val="000000"/>
                <w:kern w:val="0"/>
                <w:szCs w:val="26"/>
                <w14:ligatures w14:val="none"/>
              </w:rPr>
            </w:pPr>
          </w:p>
        </w:tc>
        <w:tc>
          <w:tcPr>
            <w:tcW w:w="2913" w:type="dxa"/>
            <w:vAlign w:val="center"/>
            <w:hideMark/>
          </w:tcPr>
          <w:p w14:paraId="0E8AC7FB"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Hàm lượng Al₂O₃</w:t>
            </w:r>
          </w:p>
        </w:tc>
        <w:tc>
          <w:tcPr>
            <w:tcW w:w="1701" w:type="dxa"/>
            <w:vAlign w:val="center"/>
            <w:hideMark/>
          </w:tcPr>
          <w:p w14:paraId="7D26B163"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c>
          <w:tcPr>
            <w:tcW w:w="1843" w:type="dxa"/>
            <w:vAlign w:val="center"/>
            <w:hideMark/>
          </w:tcPr>
          <w:p w14:paraId="50700E90"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41</w:t>
            </w:r>
          </w:p>
        </w:tc>
      </w:tr>
      <w:tr w:rsidR="00BC0EEE" w:rsidRPr="00BC0EEE" w14:paraId="25F65D60" w14:textId="77777777" w:rsidTr="008A2E66">
        <w:trPr>
          <w:trHeight w:val="348"/>
          <w:jc w:val="center"/>
        </w:trPr>
        <w:tc>
          <w:tcPr>
            <w:tcW w:w="1760" w:type="dxa"/>
            <w:vMerge w:val="restart"/>
            <w:vAlign w:val="center"/>
            <w:hideMark/>
          </w:tcPr>
          <w:p w14:paraId="664828B4"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Quặng tinh</w:t>
            </w:r>
          </w:p>
          <w:p w14:paraId="794E5BD3" w14:textId="77777777" w:rsidR="00BC0EEE" w:rsidRPr="00BC0EEE" w:rsidRDefault="00BC0EEE" w:rsidP="008A2E66">
            <w:pPr>
              <w:spacing w:after="60" w:line="240" w:lineRule="auto"/>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lastRenderedPageBreak/>
              <w:t> </w:t>
            </w:r>
          </w:p>
          <w:p w14:paraId="4E25B712" w14:textId="77777777" w:rsidR="00BC0EEE" w:rsidRPr="00BC0EEE" w:rsidRDefault="00BC0EEE" w:rsidP="008A2E66">
            <w:pPr>
              <w:spacing w:after="60" w:line="240" w:lineRule="auto"/>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 </w:t>
            </w:r>
          </w:p>
          <w:p w14:paraId="17ED0C7A" w14:textId="77777777" w:rsidR="00BC0EEE" w:rsidRPr="00BC0EEE" w:rsidRDefault="00BC0EEE" w:rsidP="008A2E66">
            <w:pPr>
              <w:spacing w:after="60" w:line="240" w:lineRule="auto"/>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 </w:t>
            </w:r>
          </w:p>
          <w:p w14:paraId="7C045D1D" w14:textId="77777777" w:rsidR="00BC0EEE" w:rsidRPr="00BC0EEE" w:rsidRDefault="00BC0EEE" w:rsidP="008A2E66">
            <w:pPr>
              <w:spacing w:after="60" w:line="240" w:lineRule="auto"/>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 </w:t>
            </w:r>
          </w:p>
          <w:p w14:paraId="4E751599" w14:textId="77777777" w:rsidR="00BC0EEE" w:rsidRPr="00BC0EEE" w:rsidRDefault="00BC0EEE" w:rsidP="008A2E66">
            <w:pPr>
              <w:spacing w:after="60" w:line="240" w:lineRule="auto"/>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 </w:t>
            </w:r>
          </w:p>
          <w:p w14:paraId="7CCA765B" w14:textId="77777777" w:rsidR="00BC0EEE" w:rsidRPr="00BC0EEE" w:rsidRDefault="00BC0EEE" w:rsidP="008A2E66">
            <w:pPr>
              <w:spacing w:after="60" w:line="240" w:lineRule="auto"/>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 </w:t>
            </w:r>
          </w:p>
        </w:tc>
        <w:tc>
          <w:tcPr>
            <w:tcW w:w="2913" w:type="dxa"/>
            <w:vAlign w:val="center"/>
            <w:hideMark/>
          </w:tcPr>
          <w:p w14:paraId="7E2B70D9"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lastRenderedPageBreak/>
              <w:t>Cỡ hạt</w:t>
            </w:r>
          </w:p>
        </w:tc>
        <w:tc>
          <w:tcPr>
            <w:tcW w:w="1701" w:type="dxa"/>
            <w:vAlign w:val="center"/>
            <w:hideMark/>
          </w:tcPr>
          <w:p w14:paraId="63953555"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mm</w:t>
            </w:r>
          </w:p>
        </w:tc>
        <w:tc>
          <w:tcPr>
            <w:tcW w:w="1843" w:type="dxa"/>
            <w:vAlign w:val="center"/>
            <w:hideMark/>
          </w:tcPr>
          <w:p w14:paraId="6E2BEB7F"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1–20</w:t>
            </w:r>
          </w:p>
        </w:tc>
      </w:tr>
      <w:tr w:rsidR="00BC0EEE" w:rsidRPr="00BC0EEE" w14:paraId="172D44AA" w14:textId="77777777" w:rsidTr="008A2E66">
        <w:trPr>
          <w:trHeight w:val="348"/>
          <w:jc w:val="center"/>
        </w:trPr>
        <w:tc>
          <w:tcPr>
            <w:tcW w:w="1760" w:type="dxa"/>
            <w:vMerge/>
            <w:vAlign w:val="center"/>
            <w:hideMark/>
          </w:tcPr>
          <w:p w14:paraId="7768F7A0" w14:textId="77777777" w:rsidR="00BC0EEE" w:rsidRPr="00BC0EEE" w:rsidRDefault="00BC0EEE" w:rsidP="008A2E66">
            <w:pPr>
              <w:spacing w:after="60" w:line="240" w:lineRule="auto"/>
              <w:rPr>
                <w:rFonts w:eastAsia="Times New Roman" w:cs="Times New Roman"/>
                <w:color w:val="000000"/>
                <w:kern w:val="0"/>
                <w:szCs w:val="26"/>
                <w14:ligatures w14:val="none"/>
              </w:rPr>
            </w:pPr>
          </w:p>
        </w:tc>
        <w:tc>
          <w:tcPr>
            <w:tcW w:w="2913" w:type="dxa"/>
            <w:vAlign w:val="center"/>
            <w:hideMark/>
          </w:tcPr>
          <w:p w14:paraId="10F0A778"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Độ ẩm</w:t>
            </w:r>
          </w:p>
        </w:tc>
        <w:tc>
          <w:tcPr>
            <w:tcW w:w="1701" w:type="dxa"/>
            <w:vAlign w:val="center"/>
            <w:hideMark/>
          </w:tcPr>
          <w:p w14:paraId="7B556142"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c>
          <w:tcPr>
            <w:tcW w:w="1843" w:type="dxa"/>
            <w:vAlign w:val="center"/>
            <w:hideMark/>
          </w:tcPr>
          <w:p w14:paraId="158129CC"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12</w:t>
            </w:r>
          </w:p>
        </w:tc>
      </w:tr>
      <w:tr w:rsidR="00BC0EEE" w:rsidRPr="00BC0EEE" w14:paraId="70697D50" w14:textId="77777777" w:rsidTr="008A2E66">
        <w:trPr>
          <w:trHeight w:val="348"/>
          <w:jc w:val="center"/>
        </w:trPr>
        <w:tc>
          <w:tcPr>
            <w:tcW w:w="1760" w:type="dxa"/>
            <w:vMerge/>
            <w:vAlign w:val="center"/>
            <w:hideMark/>
          </w:tcPr>
          <w:p w14:paraId="3EAFE129" w14:textId="77777777" w:rsidR="00BC0EEE" w:rsidRPr="00BC0EEE" w:rsidRDefault="00BC0EEE" w:rsidP="008A2E66">
            <w:pPr>
              <w:spacing w:after="60" w:line="240" w:lineRule="auto"/>
              <w:rPr>
                <w:rFonts w:eastAsia="Times New Roman" w:cs="Times New Roman"/>
                <w:color w:val="000000"/>
                <w:kern w:val="0"/>
                <w:szCs w:val="26"/>
                <w14:ligatures w14:val="none"/>
              </w:rPr>
            </w:pPr>
          </w:p>
        </w:tc>
        <w:tc>
          <w:tcPr>
            <w:tcW w:w="2913" w:type="dxa"/>
            <w:vAlign w:val="center"/>
            <w:hideMark/>
          </w:tcPr>
          <w:p w14:paraId="7C5DAC98"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Khối lượng (khô)</w:t>
            </w:r>
          </w:p>
        </w:tc>
        <w:tc>
          <w:tcPr>
            <w:tcW w:w="1701" w:type="dxa"/>
            <w:vAlign w:val="center"/>
            <w:hideMark/>
          </w:tcPr>
          <w:p w14:paraId="30B34718"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tấn/năm</w:t>
            </w:r>
          </w:p>
        </w:tc>
        <w:tc>
          <w:tcPr>
            <w:tcW w:w="1843" w:type="dxa"/>
            <w:vAlign w:val="center"/>
            <w:hideMark/>
          </w:tcPr>
          <w:p w14:paraId="68BB3191"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1.412.775</w:t>
            </w:r>
          </w:p>
        </w:tc>
      </w:tr>
      <w:tr w:rsidR="00BC0EEE" w:rsidRPr="00BC0EEE" w14:paraId="0DBF72B4" w14:textId="77777777" w:rsidTr="008A2E66">
        <w:trPr>
          <w:trHeight w:val="348"/>
          <w:jc w:val="center"/>
        </w:trPr>
        <w:tc>
          <w:tcPr>
            <w:tcW w:w="1760" w:type="dxa"/>
            <w:vMerge/>
            <w:vAlign w:val="center"/>
            <w:hideMark/>
          </w:tcPr>
          <w:p w14:paraId="19F946A6" w14:textId="77777777" w:rsidR="00BC0EEE" w:rsidRPr="00BC0EEE" w:rsidRDefault="00BC0EEE" w:rsidP="008A2E66">
            <w:pPr>
              <w:spacing w:after="60" w:line="240" w:lineRule="auto"/>
              <w:rPr>
                <w:rFonts w:eastAsia="Times New Roman" w:cs="Times New Roman"/>
                <w:color w:val="000000"/>
                <w:kern w:val="0"/>
                <w:szCs w:val="26"/>
                <w14:ligatures w14:val="none"/>
              </w:rPr>
            </w:pPr>
          </w:p>
        </w:tc>
        <w:tc>
          <w:tcPr>
            <w:tcW w:w="2913" w:type="dxa"/>
            <w:vAlign w:val="center"/>
            <w:hideMark/>
          </w:tcPr>
          <w:p w14:paraId="0B180707"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Al₂O₃ (tối thiểu)</w:t>
            </w:r>
          </w:p>
        </w:tc>
        <w:tc>
          <w:tcPr>
            <w:tcW w:w="1701" w:type="dxa"/>
            <w:vAlign w:val="center"/>
            <w:hideMark/>
          </w:tcPr>
          <w:p w14:paraId="33D25E47"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c>
          <w:tcPr>
            <w:tcW w:w="1843" w:type="dxa"/>
            <w:vAlign w:val="center"/>
            <w:hideMark/>
          </w:tcPr>
          <w:p w14:paraId="28778F41"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49,93</w:t>
            </w:r>
          </w:p>
        </w:tc>
      </w:tr>
      <w:tr w:rsidR="00BC0EEE" w:rsidRPr="00BC0EEE" w14:paraId="2993790E" w14:textId="77777777" w:rsidTr="008A2E66">
        <w:trPr>
          <w:trHeight w:val="348"/>
          <w:jc w:val="center"/>
        </w:trPr>
        <w:tc>
          <w:tcPr>
            <w:tcW w:w="1760" w:type="dxa"/>
            <w:vMerge/>
            <w:vAlign w:val="center"/>
            <w:hideMark/>
          </w:tcPr>
          <w:p w14:paraId="04A01ED0" w14:textId="77777777" w:rsidR="00BC0EEE" w:rsidRPr="00BC0EEE" w:rsidRDefault="00BC0EEE" w:rsidP="008A2E66">
            <w:pPr>
              <w:spacing w:after="60" w:line="240" w:lineRule="auto"/>
              <w:rPr>
                <w:rFonts w:eastAsia="Times New Roman" w:cs="Times New Roman"/>
                <w:color w:val="000000"/>
                <w:kern w:val="0"/>
                <w:szCs w:val="26"/>
                <w14:ligatures w14:val="none"/>
              </w:rPr>
            </w:pPr>
          </w:p>
        </w:tc>
        <w:tc>
          <w:tcPr>
            <w:tcW w:w="2913" w:type="dxa"/>
            <w:vAlign w:val="center"/>
            <w:hideMark/>
          </w:tcPr>
          <w:p w14:paraId="0DCAC69D"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SiO₂ (tối đa)</w:t>
            </w:r>
          </w:p>
        </w:tc>
        <w:tc>
          <w:tcPr>
            <w:tcW w:w="1701" w:type="dxa"/>
            <w:vAlign w:val="center"/>
            <w:hideMark/>
          </w:tcPr>
          <w:p w14:paraId="37323F97"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c>
          <w:tcPr>
            <w:tcW w:w="1843" w:type="dxa"/>
            <w:vAlign w:val="center"/>
            <w:hideMark/>
          </w:tcPr>
          <w:p w14:paraId="1DBE536F"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3,5</w:t>
            </w:r>
          </w:p>
        </w:tc>
      </w:tr>
      <w:tr w:rsidR="00BC0EEE" w:rsidRPr="00BC0EEE" w14:paraId="66EFB935" w14:textId="77777777" w:rsidTr="008A2E66">
        <w:trPr>
          <w:trHeight w:val="348"/>
          <w:jc w:val="center"/>
        </w:trPr>
        <w:tc>
          <w:tcPr>
            <w:tcW w:w="1760" w:type="dxa"/>
            <w:vMerge/>
            <w:vAlign w:val="center"/>
            <w:hideMark/>
          </w:tcPr>
          <w:p w14:paraId="1997DC9D" w14:textId="77777777" w:rsidR="00BC0EEE" w:rsidRPr="00BC0EEE" w:rsidRDefault="00BC0EEE" w:rsidP="008A2E66">
            <w:pPr>
              <w:spacing w:after="60" w:line="240" w:lineRule="auto"/>
              <w:rPr>
                <w:rFonts w:eastAsia="Times New Roman" w:cs="Times New Roman"/>
                <w:color w:val="000000"/>
                <w:kern w:val="0"/>
                <w:szCs w:val="26"/>
                <w14:ligatures w14:val="none"/>
              </w:rPr>
            </w:pPr>
          </w:p>
        </w:tc>
        <w:tc>
          <w:tcPr>
            <w:tcW w:w="2913" w:type="dxa"/>
            <w:vAlign w:val="center"/>
            <w:hideMark/>
          </w:tcPr>
          <w:p w14:paraId="71F7344C"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Fe₂O₃ (xấp xỉ)</w:t>
            </w:r>
          </w:p>
        </w:tc>
        <w:tc>
          <w:tcPr>
            <w:tcW w:w="1701" w:type="dxa"/>
            <w:vAlign w:val="center"/>
            <w:hideMark/>
          </w:tcPr>
          <w:p w14:paraId="339E2978"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c>
          <w:tcPr>
            <w:tcW w:w="1843" w:type="dxa"/>
            <w:vAlign w:val="center"/>
            <w:hideMark/>
          </w:tcPr>
          <w:p w14:paraId="55A99CC3"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17</w:t>
            </w:r>
          </w:p>
        </w:tc>
      </w:tr>
      <w:tr w:rsidR="00BC0EEE" w:rsidRPr="00BC0EEE" w14:paraId="5C722FEB" w14:textId="77777777" w:rsidTr="008A2E66">
        <w:trPr>
          <w:trHeight w:val="348"/>
          <w:jc w:val="center"/>
        </w:trPr>
        <w:tc>
          <w:tcPr>
            <w:tcW w:w="1760" w:type="dxa"/>
            <w:vMerge/>
            <w:vAlign w:val="center"/>
            <w:hideMark/>
          </w:tcPr>
          <w:p w14:paraId="15A11454" w14:textId="77777777" w:rsidR="00BC0EEE" w:rsidRPr="00BC0EEE" w:rsidRDefault="00BC0EEE" w:rsidP="008A2E66">
            <w:pPr>
              <w:spacing w:after="60" w:line="240" w:lineRule="auto"/>
              <w:rPr>
                <w:rFonts w:eastAsia="Times New Roman" w:cs="Times New Roman"/>
                <w:color w:val="000000"/>
                <w:kern w:val="0"/>
                <w:szCs w:val="26"/>
                <w14:ligatures w14:val="none"/>
              </w:rPr>
            </w:pPr>
          </w:p>
        </w:tc>
        <w:tc>
          <w:tcPr>
            <w:tcW w:w="2913" w:type="dxa"/>
            <w:vAlign w:val="center"/>
            <w:hideMark/>
          </w:tcPr>
          <w:p w14:paraId="5F958779"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TiO₂ (xấp xỉ)</w:t>
            </w:r>
          </w:p>
        </w:tc>
        <w:tc>
          <w:tcPr>
            <w:tcW w:w="1701" w:type="dxa"/>
            <w:vAlign w:val="center"/>
            <w:hideMark/>
          </w:tcPr>
          <w:p w14:paraId="067B0633"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c>
          <w:tcPr>
            <w:tcW w:w="1843" w:type="dxa"/>
            <w:vAlign w:val="center"/>
            <w:hideMark/>
          </w:tcPr>
          <w:p w14:paraId="38A992D1"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2,7</w:t>
            </w:r>
          </w:p>
        </w:tc>
      </w:tr>
      <w:tr w:rsidR="00BC0EEE" w:rsidRPr="00BC0EEE" w14:paraId="39B3A4BB" w14:textId="77777777" w:rsidTr="008A2E66">
        <w:trPr>
          <w:trHeight w:val="348"/>
          <w:jc w:val="center"/>
        </w:trPr>
        <w:tc>
          <w:tcPr>
            <w:tcW w:w="1760" w:type="dxa"/>
            <w:vMerge w:val="restart"/>
            <w:vAlign w:val="center"/>
            <w:hideMark/>
          </w:tcPr>
          <w:p w14:paraId="23A53BF7"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Đuôi thải</w:t>
            </w:r>
          </w:p>
          <w:p w14:paraId="14FA344C" w14:textId="77777777" w:rsidR="00BC0EEE" w:rsidRPr="00BC0EEE" w:rsidRDefault="00BC0EEE" w:rsidP="008A2E66">
            <w:pPr>
              <w:spacing w:after="60" w:line="240" w:lineRule="auto"/>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 </w:t>
            </w:r>
          </w:p>
          <w:p w14:paraId="5DB4F89C" w14:textId="77777777" w:rsidR="00BC0EEE" w:rsidRPr="00BC0EEE" w:rsidRDefault="00BC0EEE" w:rsidP="008A2E66">
            <w:pPr>
              <w:spacing w:after="60" w:line="240" w:lineRule="auto"/>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 </w:t>
            </w:r>
          </w:p>
          <w:p w14:paraId="02B270F0" w14:textId="77777777" w:rsidR="00BC0EEE" w:rsidRPr="00BC0EEE" w:rsidRDefault="00BC0EEE" w:rsidP="008A2E66">
            <w:pPr>
              <w:spacing w:after="60" w:line="240" w:lineRule="auto"/>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 </w:t>
            </w:r>
          </w:p>
          <w:p w14:paraId="12A348C2" w14:textId="77777777" w:rsidR="00BC0EEE" w:rsidRPr="00BC0EEE" w:rsidRDefault="00BC0EEE" w:rsidP="008A2E66">
            <w:pPr>
              <w:spacing w:after="60" w:line="240" w:lineRule="auto"/>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 </w:t>
            </w:r>
          </w:p>
        </w:tc>
        <w:tc>
          <w:tcPr>
            <w:tcW w:w="2913" w:type="dxa"/>
            <w:vAlign w:val="center"/>
            <w:hideMark/>
          </w:tcPr>
          <w:p w14:paraId="1D2AFC58"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Khối lượng (khô)</w:t>
            </w:r>
          </w:p>
        </w:tc>
        <w:tc>
          <w:tcPr>
            <w:tcW w:w="1701" w:type="dxa"/>
            <w:vAlign w:val="center"/>
            <w:hideMark/>
          </w:tcPr>
          <w:p w14:paraId="151F797D"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tấn/năm</w:t>
            </w:r>
          </w:p>
        </w:tc>
        <w:tc>
          <w:tcPr>
            <w:tcW w:w="1843" w:type="dxa"/>
            <w:vAlign w:val="center"/>
            <w:hideMark/>
          </w:tcPr>
          <w:p w14:paraId="738468C1"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1.441.316</w:t>
            </w:r>
          </w:p>
        </w:tc>
      </w:tr>
      <w:tr w:rsidR="00BC0EEE" w:rsidRPr="00BC0EEE" w14:paraId="14BDDAD3" w14:textId="77777777" w:rsidTr="008A2E66">
        <w:trPr>
          <w:trHeight w:val="348"/>
          <w:jc w:val="center"/>
        </w:trPr>
        <w:tc>
          <w:tcPr>
            <w:tcW w:w="1760" w:type="dxa"/>
            <w:vMerge/>
            <w:vAlign w:val="center"/>
            <w:hideMark/>
          </w:tcPr>
          <w:p w14:paraId="3BC37413" w14:textId="77777777" w:rsidR="00BC0EEE" w:rsidRPr="00BC0EEE" w:rsidRDefault="00BC0EEE" w:rsidP="008A2E66">
            <w:pPr>
              <w:spacing w:after="60" w:line="240" w:lineRule="auto"/>
              <w:rPr>
                <w:rFonts w:eastAsia="Times New Roman" w:cs="Times New Roman"/>
                <w:color w:val="000000"/>
                <w:kern w:val="0"/>
                <w:szCs w:val="26"/>
                <w14:ligatures w14:val="none"/>
              </w:rPr>
            </w:pPr>
          </w:p>
        </w:tc>
        <w:tc>
          <w:tcPr>
            <w:tcW w:w="2913" w:type="dxa"/>
            <w:vAlign w:val="center"/>
            <w:hideMark/>
          </w:tcPr>
          <w:p w14:paraId="5448C415"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Al₂O₃ (xấp xỉ)</w:t>
            </w:r>
          </w:p>
        </w:tc>
        <w:tc>
          <w:tcPr>
            <w:tcW w:w="1701" w:type="dxa"/>
            <w:vAlign w:val="center"/>
            <w:hideMark/>
          </w:tcPr>
          <w:p w14:paraId="069748E7"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c>
          <w:tcPr>
            <w:tcW w:w="1843" w:type="dxa"/>
            <w:vAlign w:val="center"/>
            <w:hideMark/>
          </w:tcPr>
          <w:p w14:paraId="74D46F47"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31,5</w:t>
            </w:r>
          </w:p>
        </w:tc>
      </w:tr>
      <w:tr w:rsidR="00BC0EEE" w:rsidRPr="00BC0EEE" w14:paraId="635D75A0" w14:textId="77777777" w:rsidTr="008A2E66">
        <w:trPr>
          <w:trHeight w:val="348"/>
          <w:jc w:val="center"/>
        </w:trPr>
        <w:tc>
          <w:tcPr>
            <w:tcW w:w="1760" w:type="dxa"/>
            <w:vMerge/>
            <w:vAlign w:val="center"/>
            <w:hideMark/>
          </w:tcPr>
          <w:p w14:paraId="52809702" w14:textId="77777777" w:rsidR="00BC0EEE" w:rsidRPr="00BC0EEE" w:rsidRDefault="00BC0EEE" w:rsidP="008A2E66">
            <w:pPr>
              <w:spacing w:after="60" w:line="240" w:lineRule="auto"/>
              <w:rPr>
                <w:rFonts w:eastAsia="Times New Roman" w:cs="Times New Roman"/>
                <w:color w:val="000000"/>
                <w:kern w:val="0"/>
                <w:szCs w:val="26"/>
                <w14:ligatures w14:val="none"/>
              </w:rPr>
            </w:pPr>
          </w:p>
        </w:tc>
        <w:tc>
          <w:tcPr>
            <w:tcW w:w="2913" w:type="dxa"/>
            <w:vAlign w:val="center"/>
            <w:hideMark/>
          </w:tcPr>
          <w:p w14:paraId="2A2E1712"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SiO₂ (xấp xỉ)</w:t>
            </w:r>
          </w:p>
        </w:tc>
        <w:tc>
          <w:tcPr>
            <w:tcW w:w="1701" w:type="dxa"/>
            <w:vAlign w:val="center"/>
            <w:hideMark/>
          </w:tcPr>
          <w:p w14:paraId="4537E43B"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c>
          <w:tcPr>
            <w:tcW w:w="1843" w:type="dxa"/>
            <w:vAlign w:val="center"/>
            <w:hideMark/>
          </w:tcPr>
          <w:p w14:paraId="0C3B8B58"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12</w:t>
            </w:r>
          </w:p>
        </w:tc>
      </w:tr>
      <w:tr w:rsidR="00BC0EEE" w:rsidRPr="00BC0EEE" w14:paraId="30DAB898" w14:textId="77777777" w:rsidTr="008A2E66">
        <w:trPr>
          <w:trHeight w:val="348"/>
          <w:jc w:val="center"/>
        </w:trPr>
        <w:tc>
          <w:tcPr>
            <w:tcW w:w="1760" w:type="dxa"/>
            <w:vMerge/>
            <w:vAlign w:val="center"/>
            <w:hideMark/>
          </w:tcPr>
          <w:p w14:paraId="13765FFB" w14:textId="77777777" w:rsidR="00BC0EEE" w:rsidRPr="00BC0EEE" w:rsidRDefault="00BC0EEE" w:rsidP="008A2E66">
            <w:pPr>
              <w:spacing w:after="60" w:line="240" w:lineRule="auto"/>
              <w:rPr>
                <w:rFonts w:eastAsia="Times New Roman" w:cs="Times New Roman"/>
                <w:color w:val="000000"/>
                <w:kern w:val="0"/>
                <w:szCs w:val="26"/>
                <w14:ligatures w14:val="none"/>
              </w:rPr>
            </w:pPr>
          </w:p>
        </w:tc>
        <w:tc>
          <w:tcPr>
            <w:tcW w:w="2913" w:type="dxa"/>
            <w:vAlign w:val="center"/>
            <w:hideMark/>
          </w:tcPr>
          <w:p w14:paraId="3F4CE664"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Fe₂O₃ (xấp xỉ)</w:t>
            </w:r>
          </w:p>
        </w:tc>
        <w:tc>
          <w:tcPr>
            <w:tcW w:w="1701" w:type="dxa"/>
            <w:vAlign w:val="center"/>
            <w:hideMark/>
          </w:tcPr>
          <w:p w14:paraId="042F6BBD"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c>
          <w:tcPr>
            <w:tcW w:w="1843" w:type="dxa"/>
            <w:vAlign w:val="center"/>
            <w:hideMark/>
          </w:tcPr>
          <w:p w14:paraId="2A44EA3C"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32,5</w:t>
            </w:r>
          </w:p>
        </w:tc>
      </w:tr>
      <w:tr w:rsidR="00BC0EEE" w:rsidRPr="00BC0EEE" w14:paraId="676BE32A" w14:textId="77777777" w:rsidTr="008A2E66">
        <w:trPr>
          <w:trHeight w:val="348"/>
          <w:jc w:val="center"/>
        </w:trPr>
        <w:tc>
          <w:tcPr>
            <w:tcW w:w="1760" w:type="dxa"/>
            <w:vMerge/>
            <w:vAlign w:val="center"/>
            <w:hideMark/>
          </w:tcPr>
          <w:p w14:paraId="51E86CEB" w14:textId="77777777" w:rsidR="00BC0EEE" w:rsidRPr="00BC0EEE" w:rsidRDefault="00BC0EEE" w:rsidP="008A2E66">
            <w:pPr>
              <w:spacing w:after="60" w:line="240" w:lineRule="auto"/>
              <w:rPr>
                <w:rFonts w:eastAsia="Times New Roman" w:cs="Times New Roman"/>
                <w:color w:val="000000"/>
                <w:kern w:val="0"/>
                <w:szCs w:val="26"/>
                <w14:ligatures w14:val="none"/>
              </w:rPr>
            </w:pPr>
          </w:p>
        </w:tc>
        <w:tc>
          <w:tcPr>
            <w:tcW w:w="2913" w:type="dxa"/>
            <w:vAlign w:val="center"/>
            <w:hideMark/>
          </w:tcPr>
          <w:p w14:paraId="5CA75B12"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TiO₂ (xấp xỉ)</w:t>
            </w:r>
          </w:p>
        </w:tc>
        <w:tc>
          <w:tcPr>
            <w:tcW w:w="1701" w:type="dxa"/>
            <w:vAlign w:val="center"/>
            <w:hideMark/>
          </w:tcPr>
          <w:p w14:paraId="1B5DAA5E"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c>
          <w:tcPr>
            <w:tcW w:w="1843" w:type="dxa"/>
            <w:vAlign w:val="center"/>
            <w:hideMark/>
          </w:tcPr>
          <w:p w14:paraId="735D900B"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6</w:t>
            </w:r>
          </w:p>
        </w:tc>
      </w:tr>
    </w:tbl>
    <w:p w14:paraId="133EC5C5" w14:textId="77777777" w:rsidR="00BC0EEE" w:rsidRDefault="00BC0EEE" w:rsidP="00BC0EEE">
      <w:pPr>
        <w:spacing w:before="60" w:after="60" w:line="276" w:lineRule="auto"/>
        <w:jc w:val="both"/>
      </w:pPr>
      <w:r>
        <w:t>Từ Bảng 2 có thể thấy, với cùng lượng quặng nguyên khai, xưởng tuyển chỉ thu hồi được khoảng 49,5–50 % khối lượng dưới dạng quặng tinh đáp ứng tiêu chuẩn alumin, còn lại gần một nửa được thải bỏ dưới dạng bùn đuôi thải. Đây là cơ sở dữ liệu ban đầu để đánh giá mức độ tận thu tài nguyên và khả năng hạ độ sâu tuyển.</w:t>
      </w:r>
    </w:p>
    <w:p w14:paraId="6A35C29F" w14:textId="77777777" w:rsidR="00BC0EEE" w:rsidRPr="00BC0EEE" w:rsidRDefault="00BC0EEE" w:rsidP="00BC0EEE">
      <w:pPr>
        <w:spacing w:before="60" w:after="60" w:line="276" w:lineRule="auto"/>
        <w:jc w:val="both"/>
        <w:rPr>
          <w:b/>
          <w:bCs/>
        </w:rPr>
      </w:pPr>
      <w:r w:rsidRPr="00BC0EEE">
        <w:rPr>
          <w:b/>
          <w:bCs/>
        </w:rPr>
        <w:t>Bảng 3. Chất lượng cấp hạt +0,25 mm trong sản phẩm bùn thải xưởng tuyển Đắk Nông</w:t>
      </w: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5"/>
        <w:gridCol w:w="1544"/>
        <w:gridCol w:w="842"/>
        <w:gridCol w:w="840"/>
        <w:gridCol w:w="849"/>
        <w:gridCol w:w="1197"/>
        <w:gridCol w:w="980"/>
        <w:gridCol w:w="973"/>
      </w:tblGrid>
      <w:tr w:rsidR="00BC0EEE" w:rsidRPr="00BC0EEE" w14:paraId="38868A8F" w14:textId="77777777" w:rsidTr="008A2E66">
        <w:trPr>
          <w:trHeight w:val="1154"/>
          <w:jc w:val="center"/>
        </w:trPr>
        <w:tc>
          <w:tcPr>
            <w:tcW w:w="2122" w:type="dxa"/>
            <w:vAlign w:val="center"/>
            <w:hideMark/>
          </w:tcPr>
          <w:p w14:paraId="04C6A169"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Cấp hạt (mm)</w:t>
            </w:r>
          </w:p>
        </w:tc>
        <w:tc>
          <w:tcPr>
            <w:tcW w:w="1559" w:type="dxa"/>
            <w:vAlign w:val="center"/>
            <w:hideMark/>
          </w:tcPr>
          <w:p w14:paraId="532AFF34"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Thu hoạch so với quặng NK (%)</w:t>
            </w:r>
          </w:p>
        </w:tc>
        <w:tc>
          <w:tcPr>
            <w:tcW w:w="842" w:type="dxa"/>
            <w:vAlign w:val="center"/>
            <w:hideMark/>
          </w:tcPr>
          <w:p w14:paraId="338D585B"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Al₂O₃ (%)</w:t>
            </w:r>
          </w:p>
        </w:tc>
        <w:tc>
          <w:tcPr>
            <w:tcW w:w="843" w:type="dxa"/>
            <w:vAlign w:val="center"/>
            <w:hideMark/>
          </w:tcPr>
          <w:p w14:paraId="508369E2"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SiO₂ (%)</w:t>
            </w:r>
          </w:p>
        </w:tc>
        <w:tc>
          <w:tcPr>
            <w:tcW w:w="796" w:type="dxa"/>
            <w:vAlign w:val="center"/>
            <w:hideMark/>
          </w:tcPr>
          <w:p w14:paraId="5C81E03C"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Fe₂O₃ (%)</w:t>
            </w:r>
          </w:p>
        </w:tc>
        <w:tc>
          <w:tcPr>
            <w:tcW w:w="1205" w:type="dxa"/>
            <w:vAlign w:val="center"/>
            <w:hideMark/>
          </w:tcPr>
          <w:p w14:paraId="7D845587"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Thu hoạch luỹ tích (%)</w:t>
            </w:r>
          </w:p>
        </w:tc>
        <w:tc>
          <w:tcPr>
            <w:tcW w:w="984" w:type="dxa"/>
            <w:vAlign w:val="center"/>
            <w:hideMark/>
          </w:tcPr>
          <w:p w14:paraId="58D22649"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Al₂O₃ luỹ tích (%)</w:t>
            </w:r>
          </w:p>
        </w:tc>
        <w:tc>
          <w:tcPr>
            <w:tcW w:w="979" w:type="dxa"/>
            <w:vAlign w:val="center"/>
            <w:hideMark/>
          </w:tcPr>
          <w:p w14:paraId="11139D4F"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SiO₂ luỹ tích (%)</w:t>
            </w:r>
          </w:p>
        </w:tc>
      </w:tr>
      <w:tr w:rsidR="00BC0EEE" w:rsidRPr="00BC0EEE" w14:paraId="2FF3A71E" w14:textId="77777777" w:rsidTr="008A2E66">
        <w:trPr>
          <w:trHeight w:val="348"/>
          <w:jc w:val="center"/>
        </w:trPr>
        <w:tc>
          <w:tcPr>
            <w:tcW w:w="2122" w:type="dxa"/>
            <w:vAlign w:val="center"/>
            <w:hideMark/>
          </w:tcPr>
          <w:p w14:paraId="1C7E65E5"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1</w:t>
            </w:r>
          </w:p>
        </w:tc>
        <w:tc>
          <w:tcPr>
            <w:tcW w:w="1559" w:type="dxa"/>
            <w:vAlign w:val="center"/>
            <w:hideMark/>
          </w:tcPr>
          <w:p w14:paraId="3817C2C8"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0,84</w:t>
            </w:r>
          </w:p>
        </w:tc>
        <w:tc>
          <w:tcPr>
            <w:tcW w:w="842" w:type="dxa"/>
            <w:vAlign w:val="center"/>
            <w:hideMark/>
          </w:tcPr>
          <w:p w14:paraId="02983C2A"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44,96</w:t>
            </w:r>
          </w:p>
        </w:tc>
        <w:tc>
          <w:tcPr>
            <w:tcW w:w="843" w:type="dxa"/>
            <w:vAlign w:val="center"/>
            <w:hideMark/>
          </w:tcPr>
          <w:p w14:paraId="2548D201"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3,37</w:t>
            </w:r>
          </w:p>
        </w:tc>
        <w:tc>
          <w:tcPr>
            <w:tcW w:w="796" w:type="dxa"/>
            <w:vAlign w:val="center"/>
            <w:hideMark/>
          </w:tcPr>
          <w:p w14:paraId="75AD336C"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22,23</w:t>
            </w:r>
          </w:p>
        </w:tc>
        <w:tc>
          <w:tcPr>
            <w:tcW w:w="1205" w:type="dxa"/>
            <w:vAlign w:val="center"/>
            <w:hideMark/>
          </w:tcPr>
          <w:p w14:paraId="109ABCE2"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0,84</w:t>
            </w:r>
          </w:p>
        </w:tc>
        <w:tc>
          <w:tcPr>
            <w:tcW w:w="984" w:type="dxa"/>
            <w:vAlign w:val="center"/>
            <w:hideMark/>
          </w:tcPr>
          <w:p w14:paraId="1B4CED51"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44,96</w:t>
            </w:r>
          </w:p>
        </w:tc>
        <w:tc>
          <w:tcPr>
            <w:tcW w:w="979" w:type="dxa"/>
            <w:vAlign w:val="center"/>
            <w:hideMark/>
          </w:tcPr>
          <w:p w14:paraId="7138ED47"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3,37</w:t>
            </w:r>
          </w:p>
        </w:tc>
      </w:tr>
      <w:tr w:rsidR="00BC0EEE" w:rsidRPr="00BC0EEE" w14:paraId="2735B02B" w14:textId="77777777" w:rsidTr="008A2E66">
        <w:trPr>
          <w:trHeight w:val="348"/>
          <w:jc w:val="center"/>
        </w:trPr>
        <w:tc>
          <w:tcPr>
            <w:tcW w:w="2122" w:type="dxa"/>
            <w:vAlign w:val="center"/>
            <w:hideMark/>
          </w:tcPr>
          <w:p w14:paraId="315EFA26"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0,75–1</w:t>
            </w:r>
          </w:p>
        </w:tc>
        <w:tc>
          <w:tcPr>
            <w:tcW w:w="1559" w:type="dxa"/>
            <w:vAlign w:val="center"/>
            <w:hideMark/>
          </w:tcPr>
          <w:p w14:paraId="23AF4BE3"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0,95</w:t>
            </w:r>
          </w:p>
        </w:tc>
        <w:tc>
          <w:tcPr>
            <w:tcW w:w="842" w:type="dxa"/>
            <w:vAlign w:val="center"/>
            <w:hideMark/>
          </w:tcPr>
          <w:p w14:paraId="16FF1344"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44,11</w:t>
            </w:r>
          </w:p>
        </w:tc>
        <w:tc>
          <w:tcPr>
            <w:tcW w:w="843" w:type="dxa"/>
            <w:vAlign w:val="center"/>
            <w:hideMark/>
          </w:tcPr>
          <w:p w14:paraId="5292DC56"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3,53</w:t>
            </w:r>
          </w:p>
        </w:tc>
        <w:tc>
          <w:tcPr>
            <w:tcW w:w="796" w:type="dxa"/>
            <w:vAlign w:val="center"/>
            <w:hideMark/>
          </w:tcPr>
          <w:p w14:paraId="671BB7C4"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23,15</w:t>
            </w:r>
          </w:p>
        </w:tc>
        <w:tc>
          <w:tcPr>
            <w:tcW w:w="1205" w:type="dxa"/>
            <w:vAlign w:val="center"/>
            <w:hideMark/>
          </w:tcPr>
          <w:p w14:paraId="2D65C2F4"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1,79</w:t>
            </w:r>
          </w:p>
        </w:tc>
        <w:tc>
          <w:tcPr>
            <w:tcW w:w="984" w:type="dxa"/>
            <w:vAlign w:val="center"/>
            <w:hideMark/>
          </w:tcPr>
          <w:p w14:paraId="33F4E1EF"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44,51</w:t>
            </w:r>
          </w:p>
        </w:tc>
        <w:tc>
          <w:tcPr>
            <w:tcW w:w="979" w:type="dxa"/>
            <w:vAlign w:val="center"/>
            <w:hideMark/>
          </w:tcPr>
          <w:p w14:paraId="548C58C0"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3,45</w:t>
            </w:r>
          </w:p>
        </w:tc>
      </w:tr>
      <w:tr w:rsidR="00BC0EEE" w:rsidRPr="00BC0EEE" w14:paraId="6AA5FD57" w14:textId="77777777" w:rsidTr="008A2E66">
        <w:trPr>
          <w:trHeight w:val="348"/>
          <w:jc w:val="center"/>
        </w:trPr>
        <w:tc>
          <w:tcPr>
            <w:tcW w:w="2122" w:type="dxa"/>
            <w:vAlign w:val="center"/>
            <w:hideMark/>
          </w:tcPr>
          <w:p w14:paraId="51B4231C"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0,5–0,75</w:t>
            </w:r>
          </w:p>
        </w:tc>
        <w:tc>
          <w:tcPr>
            <w:tcW w:w="1559" w:type="dxa"/>
            <w:vAlign w:val="center"/>
            <w:hideMark/>
          </w:tcPr>
          <w:p w14:paraId="06B3B993"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0,54</w:t>
            </w:r>
          </w:p>
        </w:tc>
        <w:tc>
          <w:tcPr>
            <w:tcW w:w="842" w:type="dxa"/>
            <w:vAlign w:val="center"/>
            <w:hideMark/>
          </w:tcPr>
          <w:p w14:paraId="37E2EC0F"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43,42</w:t>
            </w:r>
          </w:p>
        </w:tc>
        <w:tc>
          <w:tcPr>
            <w:tcW w:w="843" w:type="dxa"/>
            <w:vAlign w:val="center"/>
            <w:hideMark/>
          </w:tcPr>
          <w:p w14:paraId="1786C302"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4,12</w:t>
            </w:r>
          </w:p>
        </w:tc>
        <w:tc>
          <w:tcPr>
            <w:tcW w:w="796" w:type="dxa"/>
            <w:vAlign w:val="center"/>
            <w:hideMark/>
          </w:tcPr>
          <w:p w14:paraId="27F3E91D"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23,43</w:t>
            </w:r>
          </w:p>
        </w:tc>
        <w:tc>
          <w:tcPr>
            <w:tcW w:w="1205" w:type="dxa"/>
            <w:vAlign w:val="center"/>
            <w:hideMark/>
          </w:tcPr>
          <w:p w14:paraId="5342B8A7"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2,33</w:t>
            </w:r>
          </w:p>
        </w:tc>
        <w:tc>
          <w:tcPr>
            <w:tcW w:w="984" w:type="dxa"/>
            <w:vAlign w:val="center"/>
            <w:hideMark/>
          </w:tcPr>
          <w:p w14:paraId="41B2C492"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44,26</w:t>
            </w:r>
          </w:p>
        </w:tc>
        <w:tc>
          <w:tcPr>
            <w:tcW w:w="979" w:type="dxa"/>
            <w:vAlign w:val="center"/>
            <w:hideMark/>
          </w:tcPr>
          <w:p w14:paraId="022BF015"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3,61</w:t>
            </w:r>
          </w:p>
        </w:tc>
      </w:tr>
      <w:tr w:rsidR="00BC0EEE" w:rsidRPr="00BC0EEE" w14:paraId="131687C5" w14:textId="77777777" w:rsidTr="008A2E66">
        <w:trPr>
          <w:trHeight w:val="348"/>
          <w:jc w:val="center"/>
        </w:trPr>
        <w:tc>
          <w:tcPr>
            <w:tcW w:w="2122" w:type="dxa"/>
            <w:vAlign w:val="center"/>
          </w:tcPr>
          <w:p w14:paraId="7CF4D6C9"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0,25 – 0,5</w:t>
            </w:r>
          </w:p>
        </w:tc>
        <w:tc>
          <w:tcPr>
            <w:tcW w:w="1559" w:type="dxa"/>
            <w:vAlign w:val="center"/>
          </w:tcPr>
          <w:p w14:paraId="57E0C83E"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4,32</w:t>
            </w:r>
          </w:p>
        </w:tc>
        <w:tc>
          <w:tcPr>
            <w:tcW w:w="842" w:type="dxa"/>
            <w:vAlign w:val="center"/>
          </w:tcPr>
          <w:p w14:paraId="656EC9AA"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43,21</w:t>
            </w:r>
          </w:p>
        </w:tc>
        <w:tc>
          <w:tcPr>
            <w:tcW w:w="843" w:type="dxa"/>
            <w:vAlign w:val="center"/>
          </w:tcPr>
          <w:p w14:paraId="663B621C"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4,54</w:t>
            </w:r>
          </w:p>
        </w:tc>
        <w:tc>
          <w:tcPr>
            <w:tcW w:w="796" w:type="dxa"/>
            <w:vAlign w:val="center"/>
          </w:tcPr>
          <w:p w14:paraId="0F2FC6D5"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23,84</w:t>
            </w:r>
          </w:p>
        </w:tc>
        <w:tc>
          <w:tcPr>
            <w:tcW w:w="1205" w:type="dxa"/>
            <w:vAlign w:val="center"/>
          </w:tcPr>
          <w:p w14:paraId="36EB9A1E"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cs="Times New Roman"/>
                <w:color w:val="000000"/>
                <w:szCs w:val="26"/>
              </w:rPr>
              <w:t>6,65</w:t>
            </w:r>
          </w:p>
        </w:tc>
        <w:tc>
          <w:tcPr>
            <w:tcW w:w="984" w:type="dxa"/>
            <w:vAlign w:val="center"/>
          </w:tcPr>
          <w:p w14:paraId="07844858"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cs="Times New Roman"/>
                <w:color w:val="000000"/>
                <w:szCs w:val="26"/>
              </w:rPr>
              <w:t>43,46</w:t>
            </w:r>
          </w:p>
        </w:tc>
        <w:tc>
          <w:tcPr>
            <w:tcW w:w="979" w:type="dxa"/>
            <w:vAlign w:val="center"/>
          </w:tcPr>
          <w:p w14:paraId="78D80A78"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cs="Times New Roman"/>
                <w:color w:val="000000"/>
                <w:szCs w:val="26"/>
              </w:rPr>
              <w:t>4,32</w:t>
            </w:r>
          </w:p>
        </w:tc>
      </w:tr>
      <w:tr w:rsidR="00BC0EEE" w:rsidRPr="00BC0EEE" w14:paraId="67DAE383" w14:textId="77777777" w:rsidTr="008A2E66">
        <w:trPr>
          <w:trHeight w:val="361"/>
          <w:jc w:val="center"/>
        </w:trPr>
        <w:tc>
          <w:tcPr>
            <w:tcW w:w="2122" w:type="dxa"/>
            <w:vAlign w:val="center"/>
            <w:hideMark/>
          </w:tcPr>
          <w:p w14:paraId="626352E0" w14:textId="77777777" w:rsidR="00BC0EEE" w:rsidRPr="00BC0EEE" w:rsidRDefault="00BC0EEE" w:rsidP="008A2E66">
            <w:pPr>
              <w:spacing w:after="60" w:line="240" w:lineRule="auto"/>
              <w:jc w:val="both"/>
              <w:rPr>
                <w:rFonts w:eastAsia="Times New Roman" w:cs="Times New Roman"/>
                <w:b/>
                <w:bCs/>
                <w:i/>
                <w:iCs/>
                <w:color w:val="000000"/>
                <w:kern w:val="0"/>
                <w:szCs w:val="26"/>
                <w14:ligatures w14:val="none"/>
              </w:rPr>
            </w:pPr>
            <w:r w:rsidRPr="00BC0EEE">
              <w:rPr>
                <w:rFonts w:eastAsia="Times New Roman" w:cs="Times New Roman"/>
                <w:b/>
                <w:bCs/>
                <w:i/>
                <w:iCs/>
                <w:color w:val="000000"/>
                <w:kern w:val="0"/>
                <w:szCs w:val="26"/>
                <w14:ligatures w14:val="none"/>
              </w:rPr>
              <w:t>Cộng (+0,5 mm)</w:t>
            </w:r>
          </w:p>
        </w:tc>
        <w:tc>
          <w:tcPr>
            <w:tcW w:w="1559" w:type="dxa"/>
            <w:vAlign w:val="center"/>
            <w:hideMark/>
          </w:tcPr>
          <w:p w14:paraId="176F5210" w14:textId="77777777" w:rsidR="00BC0EEE" w:rsidRPr="00BC0EEE" w:rsidRDefault="00BC0EEE" w:rsidP="008A2E66">
            <w:pPr>
              <w:spacing w:after="60" w:line="240" w:lineRule="auto"/>
              <w:jc w:val="both"/>
              <w:rPr>
                <w:rFonts w:eastAsia="Times New Roman" w:cs="Times New Roman"/>
                <w:b/>
                <w:bCs/>
                <w:i/>
                <w:iCs/>
                <w:color w:val="000000"/>
                <w:kern w:val="0"/>
                <w:szCs w:val="26"/>
                <w14:ligatures w14:val="none"/>
              </w:rPr>
            </w:pPr>
            <w:r w:rsidRPr="00BC0EEE">
              <w:rPr>
                <w:rFonts w:eastAsia="Times New Roman" w:cs="Times New Roman"/>
                <w:b/>
                <w:bCs/>
                <w:i/>
                <w:iCs/>
                <w:color w:val="000000"/>
                <w:kern w:val="0"/>
                <w:szCs w:val="26"/>
                <w14:ligatures w14:val="none"/>
              </w:rPr>
              <w:t>2,33</w:t>
            </w:r>
          </w:p>
        </w:tc>
        <w:tc>
          <w:tcPr>
            <w:tcW w:w="842" w:type="dxa"/>
            <w:vAlign w:val="center"/>
            <w:hideMark/>
          </w:tcPr>
          <w:p w14:paraId="24ABFEDD" w14:textId="77777777" w:rsidR="00BC0EEE" w:rsidRPr="00BC0EEE" w:rsidRDefault="00BC0EEE" w:rsidP="008A2E66">
            <w:pPr>
              <w:spacing w:after="60" w:line="240" w:lineRule="auto"/>
              <w:jc w:val="both"/>
              <w:rPr>
                <w:rFonts w:eastAsia="Times New Roman" w:cs="Times New Roman"/>
                <w:b/>
                <w:bCs/>
                <w:i/>
                <w:iCs/>
                <w:color w:val="000000"/>
                <w:kern w:val="0"/>
                <w:szCs w:val="26"/>
                <w14:ligatures w14:val="none"/>
              </w:rPr>
            </w:pPr>
            <w:r w:rsidRPr="00BC0EEE">
              <w:rPr>
                <w:rFonts w:eastAsia="Times New Roman" w:cs="Times New Roman"/>
                <w:b/>
                <w:bCs/>
                <w:i/>
                <w:iCs/>
                <w:color w:val="000000"/>
                <w:kern w:val="0"/>
                <w:szCs w:val="26"/>
                <w14:ligatures w14:val="none"/>
              </w:rPr>
              <w:t>44,26</w:t>
            </w:r>
          </w:p>
        </w:tc>
        <w:tc>
          <w:tcPr>
            <w:tcW w:w="843" w:type="dxa"/>
            <w:vAlign w:val="center"/>
            <w:hideMark/>
          </w:tcPr>
          <w:p w14:paraId="755D2FF6" w14:textId="77777777" w:rsidR="00BC0EEE" w:rsidRPr="00BC0EEE" w:rsidRDefault="00BC0EEE" w:rsidP="008A2E66">
            <w:pPr>
              <w:spacing w:after="60" w:line="240" w:lineRule="auto"/>
              <w:jc w:val="both"/>
              <w:rPr>
                <w:rFonts w:eastAsia="Times New Roman" w:cs="Times New Roman"/>
                <w:b/>
                <w:bCs/>
                <w:i/>
                <w:iCs/>
                <w:color w:val="000000"/>
                <w:kern w:val="0"/>
                <w:szCs w:val="26"/>
                <w14:ligatures w14:val="none"/>
              </w:rPr>
            </w:pPr>
            <w:r w:rsidRPr="00BC0EEE">
              <w:rPr>
                <w:rFonts w:eastAsia="Times New Roman" w:cs="Times New Roman"/>
                <w:b/>
                <w:bCs/>
                <w:i/>
                <w:iCs/>
                <w:color w:val="000000"/>
                <w:kern w:val="0"/>
                <w:szCs w:val="26"/>
                <w14:ligatures w14:val="none"/>
              </w:rPr>
              <w:t>3,61</w:t>
            </w:r>
          </w:p>
        </w:tc>
        <w:tc>
          <w:tcPr>
            <w:tcW w:w="796" w:type="dxa"/>
            <w:vAlign w:val="center"/>
            <w:hideMark/>
          </w:tcPr>
          <w:p w14:paraId="1305DBBE" w14:textId="77777777" w:rsidR="00BC0EEE" w:rsidRPr="00BC0EEE" w:rsidRDefault="00BC0EEE" w:rsidP="008A2E66">
            <w:pPr>
              <w:spacing w:after="60" w:line="240" w:lineRule="auto"/>
              <w:jc w:val="both"/>
              <w:rPr>
                <w:rFonts w:eastAsia="Times New Roman" w:cs="Times New Roman"/>
                <w:b/>
                <w:bCs/>
                <w:i/>
                <w:iCs/>
                <w:color w:val="000000"/>
                <w:kern w:val="0"/>
                <w:szCs w:val="26"/>
                <w14:ligatures w14:val="none"/>
              </w:rPr>
            </w:pPr>
            <w:r w:rsidRPr="00BC0EEE">
              <w:rPr>
                <w:rFonts w:eastAsia="Times New Roman" w:cs="Times New Roman"/>
                <w:b/>
                <w:bCs/>
                <w:i/>
                <w:iCs/>
                <w:color w:val="000000"/>
                <w:kern w:val="0"/>
                <w:szCs w:val="26"/>
                <w14:ligatures w14:val="none"/>
              </w:rPr>
              <w:t>22,88</w:t>
            </w:r>
          </w:p>
        </w:tc>
        <w:tc>
          <w:tcPr>
            <w:tcW w:w="1205" w:type="dxa"/>
            <w:vAlign w:val="center"/>
            <w:hideMark/>
          </w:tcPr>
          <w:p w14:paraId="62CBC6BD"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c>
          <w:tcPr>
            <w:tcW w:w="984" w:type="dxa"/>
            <w:vAlign w:val="center"/>
            <w:hideMark/>
          </w:tcPr>
          <w:p w14:paraId="3E941BC6"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c>
          <w:tcPr>
            <w:tcW w:w="979" w:type="dxa"/>
            <w:vAlign w:val="center"/>
            <w:hideMark/>
          </w:tcPr>
          <w:p w14:paraId="52FA4FF9"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r>
      <w:tr w:rsidR="00BC0EEE" w:rsidRPr="00BC0EEE" w14:paraId="5EE8CE3E" w14:textId="77777777" w:rsidTr="008A2E66">
        <w:trPr>
          <w:trHeight w:val="361"/>
          <w:jc w:val="center"/>
        </w:trPr>
        <w:tc>
          <w:tcPr>
            <w:tcW w:w="2122" w:type="dxa"/>
            <w:vAlign w:val="center"/>
          </w:tcPr>
          <w:p w14:paraId="5357138C" w14:textId="77777777" w:rsidR="00BC0EEE" w:rsidRPr="00BC0EEE" w:rsidRDefault="00BC0EEE" w:rsidP="008A2E66">
            <w:pPr>
              <w:spacing w:after="60" w:line="240" w:lineRule="auto"/>
              <w:jc w:val="both"/>
              <w:rPr>
                <w:rFonts w:eastAsia="Times New Roman" w:cs="Times New Roman"/>
                <w:b/>
                <w:bCs/>
                <w:i/>
                <w:iCs/>
                <w:color w:val="000000"/>
                <w:kern w:val="0"/>
                <w:szCs w:val="26"/>
                <w14:ligatures w14:val="none"/>
              </w:rPr>
            </w:pPr>
            <w:r w:rsidRPr="00BC0EEE">
              <w:rPr>
                <w:rFonts w:eastAsia="Times New Roman" w:cs="Times New Roman"/>
                <w:b/>
                <w:bCs/>
                <w:i/>
                <w:iCs/>
                <w:color w:val="000000"/>
                <w:kern w:val="0"/>
                <w:szCs w:val="26"/>
                <w14:ligatures w14:val="none"/>
              </w:rPr>
              <w:t>Cộng (+0,25mm)</w:t>
            </w:r>
          </w:p>
        </w:tc>
        <w:tc>
          <w:tcPr>
            <w:tcW w:w="1559" w:type="dxa"/>
            <w:vAlign w:val="center"/>
          </w:tcPr>
          <w:p w14:paraId="4E95BE78" w14:textId="77777777" w:rsidR="00BC0EEE" w:rsidRPr="00BC0EEE" w:rsidRDefault="00BC0EEE" w:rsidP="008A2E66">
            <w:pPr>
              <w:spacing w:after="60" w:line="240" w:lineRule="auto"/>
              <w:jc w:val="both"/>
              <w:rPr>
                <w:rFonts w:eastAsia="Times New Roman" w:cs="Times New Roman"/>
                <w:b/>
                <w:bCs/>
                <w:i/>
                <w:iCs/>
                <w:color w:val="000000"/>
                <w:kern w:val="0"/>
                <w:szCs w:val="26"/>
                <w14:ligatures w14:val="none"/>
              </w:rPr>
            </w:pPr>
            <w:r w:rsidRPr="00BC0EEE">
              <w:rPr>
                <w:rFonts w:cs="Times New Roman"/>
                <w:b/>
                <w:bCs/>
                <w:i/>
                <w:iCs/>
                <w:color w:val="000000"/>
                <w:szCs w:val="26"/>
              </w:rPr>
              <w:t>6,65</w:t>
            </w:r>
          </w:p>
        </w:tc>
        <w:tc>
          <w:tcPr>
            <w:tcW w:w="842" w:type="dxa"/>
            <w:vAlign w:val="center"/>
          </w:tcPr>
          <w:p w14:paraId="61B8EEEA" w14:textId="77777777" w:rsidR="00BC0EEE" w:rsidRPr="00BC0EEE" w:rsidRDefault="00BC0EEE" w:rsidP="008A2E66">
            <w:pPr>
              <w:spacing w:after="60" w:line="240" w:lineRule="auto"/>
              <w:jc w:val="both"/>
              <w:rPr>
                <w:rFonts w:eastAsia="Times New Roman" w:cs="Times New Roman"/>
                <w:b/>
                <w:bCs/>
                <w:i/>
                <w:iCs/>
                <w:color w:val="000000"/>
                <w:kern w:val="0"/>
                <w:szCs w:val="26"/>
                <w14:ligatures w14:val="none"/>
              </w:rPr>
            </w:pPr>
            <w:r w:rsidRPr="00BC0EEE">
              <w:rPr>
                <w:rFonts w:cs="Times New Roman"/>
                <w:b/>
                <w:bCs/>
                <w:i/>
                <w:iCs/>
                <w:color w:val="000000"/>
                <w:szCs w:val="26"/>
              </w:rPr>
              <w:t>43,58</w:t>
            </w:r>
          </w:p>
        </w:tc>
        <w:tc>
          <w:tcPr>
            <w:tcW w:w="843" w:type="dxa"/>
            <w:vAlign w:val="center"/>
          </w:tcPr>
          <w:p w14:paraId="0EB26160" w14:textId="77777777" w:rsidR="00BC0EEE" w:rsidRPr="00BC0EEE" w:rsidRDefault="00BC0EEE" w:rsidP="008A2E66">
            <w:pPr>
              <w:spacing w:after="60" w:line="240" w:lineRule="auto"/>
              <w:jc w:val="both"/>
              <w:rPr>
                <w:rFonts w:eastAsia="Times New Roman" w:cs="Times New Roman"/>
                <w:b/>
                <w:bCs/>
                <w:i/>
                <w:iCs/>
                <w:color w:val="000000"/>
                <w:kern w:val="0"/>
                <w:szCs w:val="26"/>
                <w14:ligatures w14:val="none"/>
              </w:rPr>
            </w:pPr>
            <w:r w:rsidRPr="00BC0EEE">
              <w:rPr>
                <w:rFonts w:cs="Times New Roman"/>
                <w:b/>
                <w:bCs/>
                <w:i/>
                <w:iCs/>
                <w:color w:val="000000"/>
                <w:szCs w:val="26"/>
              </w:rPr>
              <w:t>4,21</w:t>
            </w:r>
          </w:p>
        </w:tc>
        <w:tc>
          <w:tcPr>
            <w:tcW w:w="796" w:type="dxa"/>
            <w:vAlign w:val="center"/>
          </w:tcPr>
          <w:p w14:paraId="6C4E5599" w14:textId="77777777" w:rsidR="00BC0EEE" w:rsidRPr="00BC0EEE" w:rsidRDefault="00BC0EEE" w:rsidP="008A2E66">
            <w:pPr>
              <w:spacing w:after="60" w:line="240" w:lineRule="auto"/>
              <w:jc w:val="both"/>
              <w:rPr>
                <w:rFonts w:eastAsia="Times New Roman" w:cs="Times New Roman"/>
                <w:b/>
                <w:bCs/>
                <w:i/>
                <w:iCs/>
                <w:color w:val="000000"/>
                <w:kern w:val="0"/>
                <w:szCs w:val="26"/>
                <w14:ligatures w14:val="none"/>
              </w:rPr>
            </w:pPr>
            <w:r w:rsidRPr="00BC0EEE">
              <w:rPr>
                <w:rFonts w:cs="Times New Roman"/>
                <w:b/>
                <w:bCs/>
                <w:i/>
                <w:iCs/>
                <w:color w:val="000000"/>
                <w:szCs w:val="26"/>
              </w:rPr>
              <w:t>23,50</w:t>
            </w:r>
          </w:p>
        </w:tc>
        <w:tc>
          <w:tcPr>
            <w:tcW w:w="1205" w:type="dxa"/>
            <w:vAlign w:val="center"/>
          </w:tcPr>
          <w:p w14:paraId="1436B17E"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p>
        </w:tc>
        <w:tc>
          <w:tcPr>
            <w:tcW w:w="984" w:type="dxa"/>
            <w:vAlign w:val="center"/>
          </w:tcPr>
          <w:p w14:paraId="1143D943"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p>
        </w:tc>
        <w:tc>
          <w:tcPr>
            <w:tcW w:w="979" w:type="dxa"/>
            <w:vAlign w:val="center"/>
          </w:tcPr>
          <w:p w14:paraId="72F29270"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p>
        </w:tc>
      </w:tr>
    </w:tbl>
    <w:p w14:paraId="433E3F5B" w14:textId="77777777" w:rsidR="00BC0EEE" w:rsidRDefault="00BC0EEE" w:rsidP="00BC0EEE">
      <w:pPr>
        <w:spacing w:before="60" w:after="60" w:line="276" w:lineRule="auto"/>
        <w:jc w:val="both"/>
      </w:pPr>
      <w:r>
        <w:t>Kết quả phân tích phân bố cấp hạt và chất lượng cấp +0,25 mm trong bùn thải (kết quả phân tích gộp đại diện của toàn bộ mẫu trong tháng 3/2025) được trình bày tại Bảng 3. Trong đó, cấp hạt +0,5 mm chiếm 2,33% tổng lượng, có hàm lượng Al₂O₃ trung bình đạt 44,26%, SiO₂ 3,61% và Fe₂O₃ 22,88%.</w:t>
      </w:r>
    </w:p>
    <w:p w14:paraId="461170FB" w14:textId="77777777" w:rsidR="00BC0EEE" w:rsidRDefault="00BC0EEE" w:rsidP="00BC0EEE">
      <w:pPr>
        <w:spacing w:before="60" w:after="60" w:line="276" w:lineRule="auto"/>
        <w:jc w:val="both"/>
      </w:pPr>
      <w:r>
        <w:t xml:space="preserve">3.1.2. Kết quả tính toán phối trộn khi hạ độ sâu tuyển </w:t>
      </w:r>
    </w:p>
    <w:p w14:paraId="26282EBE" w14:textId="77777777" w:rsidR="00BC0EEE" w:rsidRDefault="00BC0EEE" w:rsidP="00BC0EEE">
      <w:pPr>
        <w:spacing w:before="60" w:after="60" w:line="276" w:lineRule="auto"/>
        <w:jc w:val="both"/>
      </w:pPr>
      <w:r>
        <w:t>Thực tế sản xuất tháng 3/2025 ghi nhận thu hoạch quặng tinh ban đầu (+1 mm) đạt 48,25% với hàm lượng Al₂O₃ 49,55% và SiO₂ 3,22%. Khi thực hiện tính toán phối trộn quặng tinh +1 mm với phần bùn mịn thu hồi, sử dụng hai phương án: Phương án 1 thu hồi cấp +0,75 mm và Phương án 2 thu hồi cấp +0,5 mm (Bảng 4). Kết quả tại Bảng 4 là kết quả tính toán trên cơ sở lý thuyết cân bằng khối lượng, chưa tính đến hiệu suất sàng thực tế và khối lượng quặng tinh tăng thêm quy đổi theo công suất thiết kế 2.854.091 tấn quặng nguyên khai/năm.</w:t>
      </w:r>
    </w:p>
    <w:p w14:paraId="6E95F587" w14:textId="77777777" w:rsidR="00BC0EEE" w:rsidRPr="00BC0EEE" w:rsidRDefault="00BC0EEE" w:rsidP="00BC0EEE">
      <w:pPr>
        <w:spacing w:before="60" w:after="60" w:line="276" w:lineRule="auto"/>
        <w:jc w:val="both"/>
        <w:rPr>
          <w:b/>
          <w:bCs/>
        </w:rPr>
      </w:pPr>
      <w:r w:rsidRPr="00BC0EEE">
        <w:rPr>
          <w:b/>
          <w:bCs/>
        </w:rPr>
        <w:t>Bảng 4. Chất lượng quặng tinh phối trộn theo hai phương án thu hồi quặng mịn</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984"/>
        <w:gridCol w:w="2268"/>
        <w:gridCol w:w="2126"/>
      </w:tblGrid>
      <w:tr w:rsidR="00BC0EEE" w:rsidRPr="00BC0EEE" w14:paraId="062C4CE0" w14:textId="77777777" w:rsidTr="00BC0EEE">
        <w:trPr>
          <w:trHeight w:val="322"/>
          <w:jc w:val="center"/>
        </w:trPr>
        <w:tc>
          <w:tcPr>
            <w:tcW w:w="2122" w:type="dxa"/>
            <w:vAlign w:val="center"/>
            <w:hideMark/>
          </w:tcPr>
          <w:p w14:paraId="152673E5"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lastRenderedPageBreak/>
              <w:t>Chỉ tiêu, đơn vị</w:t>
            </w:r>
          </w:p>
        </w:tc>
        <w:tc>
          <w:tcPr>
            <w:tcW w:w="1984" w:type="dxa"/>
            <w:vAlign w:val="center"/>
            <w:hideMark/>
          </w:tcPr>
          <w:p w14:paraId="7F38CB5D" w14:textId="77777777" w:rsidR="00BC0EEE" w:rsidRPr="00BC0EEE" w:rsidRDefault="00BC0EEE" w:rsidP="00BC0EEE">
            <w:pPr>
              <w:spacing w:after="60" w:line="240" w:lineRule="auto"/>
              <w:jc w:val="center"/>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Quặng tinh ban đầu</w:t>
            </w:r>
          </w:p>
        </w:tc>
        <w:tc>
          <w:tcPr>
            <w:tcW w:w="2268" w:type="dxa"/>
          </w:tcPr>
          <w:p w14:paraId="40DEB14F" w14:textId="77777777" w:rsidR="00BC0EEE" w:rsidRPr="00BC0EEE" w:rsidRDefault="00BC0EEE" w:rsidP="00BC0EEE">
            <w:pPr>
              <w:spacing w:after="60" w:line="240" w:lineRule="auto"/>
              <w:jc w:val="center"/>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Sau phối trộn (+0,75 mm)</w:t>
            </w:r>
          </w:p>
        </w:tc>
        <w:tc>
          <w:tcPr>
            <w:tcW w:w="2126" w:type="dxa"/>
            <w:vAlign w:val="center"/>
            <w:hideMark/>
          </w:tcPr>
          <w:p w14:paraId="3A450DB9" w14:textId="77777777" w:rsidR="00BC0EEE" w:rsidRPr="00BC0EEE" w:rsidRDefault="00BC0EEE" w:rsidP="00BC0EEE">
            <w:pPr>
              <w:spacing w:after="60" w:line="240" w:lineRule="auto"/>
              <w:jc w:val="center"/>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Sau phối trộn (+0,5 mm)</w:t>
            </w:r>
          </w:p>
        </w:tc>
      </w:tr>
      <w:tr w:rsidR="00BC0EEE" w:rsidRPr="00BC0EEE" w14:paraId="74C40C3B" w14:textId="77777777" w:rsidTr="00BC0EEE">
        <w:trPr>
          <w:trHeight w:val="322"/>
          <w:jc w:val="center"/>
        </w:trPr>
        <w:tc>
          <w:tcPr>
            <w:tcW w:w="2122" w:type="dxa"/>
            <w:vAlign w:val="center"/>
          </w:tcPr>
          <w:p w14:paraId="6C8DD89B"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Thu hoạch, %</w:t>
            </w:r>
          </w:p>
        </w:tc>
        <w:tc>
          <w:tcPr>
            <w:tcW w:w="1984" w:type="dxa"/>
            <w:vAlign w:val="center"/>
          </w:tcPr>
          <w:p w14:paraId="18BBAB19"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48,25</w:t>
            </w:r>
          </w:p>
        </w:tc>
        <w:tc>
          <w:tcPr>
            <w:tcW w:w="2268" w:type="dxa"/>
            <w:vAlign w:val="center"/>
          </w:tcPr>
          <w:p w14:paraId="729F8A10"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50,04</w:t>
            </w:r>
          </w:p>
        </w:tc>
        <w:tc>
          <w:tcPr>
            <w:tcW w:w="2126" w:type="dxa"/>
            <w:vAlign w:val="center"/>
          </w:tcPr>
          <w:p w14:paraId="6D80798D"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50,58</w:t>
            </w:r>
          </w:p>
        </w:tc>
      </w:tr>
      <w:tr w:rsidR="00BC0EEE" w:rsidRPr="00BC0EEE" w14:paraId="760C6035" w14:textId="77777777" w:rsidTr="00BC0EEE">
        <w:trPr>
          <w:trHeight w:val="348"/>
          <w:jc w:val="center"/>
        </w:trPr>
        <w:tc>
          <w:tcPr>
            <w:tcW w:w="2122" w:type="dxa"/>
            <w:vAlign w:val="center"/>
            <w:hideMark/>
          </w:tcPr>
          <w:p w14:paraId="201636EF"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Al₂O₃ (%)</w:t>
            </w:r>
          </w:p>
        </w:tc>
        <w:tc>
          <w:tcPr>
            <w:tcW w:w="1984" w:type="dxa"/>
            <w:vAlign w:val="center"/>
            <w:hideMark/>
          </w:tcPr>
          <w:p w14:paraId="0F464046"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49,55</w:t>
            </w:r>
          </w:p>
        </w:tc>
        <w:tc>
          <w:tcPr>
            <w:tcW w:w="2268" w:type="dxa"/>
            <w:vAlign w:val="bottom"/>
          </w:tcPr>
          <w:p w14:paraId="151C81EB"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49,37</w:t>
            </w:r>
          </w:p>
        </w:tc>
        <w:tc>
          <w:tcPr>
            <w:tcW w:w="2126" w:type="dxa"/>
            <w:vAlign w:val="center"/>
            <w:hideMark/>
          </w:tcPr>
          <w:p w14:paraId="01B0C89A"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49,31</w:t>
            </w:r>
          </w:p>
        </w:tc>
      </w:tr>
      <w:tr w:rsidR="00BC0EEE" w:rsidRPr="00BC0EEE" w14:paraId="7B878C3A" w14:textId="77777777" w:rsidTr="00BC0EEE">
        <w:trPr>
          <w:trHeight w:val="348"/>
          <w:jc w:val="center"/>
        </w:trPr>
        <w:tc>
          <w:tcPr>
            <w:tcW w:w="2122" w:type="dxa"/>
            <w:vAlign w:val="center"/>
            <w:hideMark/>
          </w:tcPr>
          <w:p w14:paraId="53D3CE29"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SiO₂ (%)</w:t>
            </w:r>
          </w:p>
        </w:tc>
        <w:tc>
          <w:tcPr>
            <w:tcW w:w="1984" w:type="dxa"/>
            <w:vAlign w:val="center"/>
            <w:hideMark/>
          </w:tcPr>
          <w:p w14:paraId="7F98E3DE"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3,22</w:t>
            </w:r>
          </w:p>
        </w:tc>
        <w:tc>
          <w:tcPr>
            <w:tcW w:w="2268" w:type="dxa"/>
            <w:vAlign w:val="bottom"/>
          </w:tcPr>
          <w:p w14:paraId="276AA7D9"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3,23</w:t>
            </w:r>
          </w:p>
        </w:tc>
        <w:tc>
          <w:tcPr>
            <w:tcW w:w="2126" w:type="dxa"/>
            <w:vAlign w:val="center"/>
            <w:hideMark/>
          </w:tcPr>
          <w:p w14:paraId="41B5EE66"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3,24</w:t>
            </w:r>
          </w:p>
        </w:tc>
      </w:tr>
      <w:tr w:rsidR="00BC0EEE" w:rsidRPr="00BC0EEE" w14:paraId="169CD207" w14:textId="77777777" w:rsidTr="00BC0EEE">
        <w:trPr>
          <w:trHeight w:val="348"/>
          <w:jc w:val="center"/>
        </w:trPr>
        <w:tc>
          <w:tcPr>
            <w:tcW w:w="2122" w:type="dxa"/>
            <w:vAlign w:val="center"/>
            <w:hideMark/>
          </w:tcPr>
          <w:p w14:paraId="1A1B90B9"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Fe₂O₃ (%)</w:t>
            </w:r>
          </w:p>
        </w:tc>
        <w:tc>
          <w:tcPr>
            <w:tcW w:w="1984" w:type="dxa"/>
            <w:vAlign w:val="center"/>
            <w:hideMark/>
          </w:tcPr>
          <w:p w14:paraId="2E8BC23B"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17,51</w:t>
            </w:r>
          </w:p>
        </w:tc>
        <w:tc>
          <w:tcPr>
            <w:tcW w:w="2268" w:type="dxa"/>
            <w:vAlign w:val="bottom"/>
          </w:tcPr>
          <w:p w14:paraId="42A70DAD"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17,70</w:t>
            </w:r>
          </w:p>
        </w:tc>
        <w:tc>
          <w:tcPr>
            <w:tcW w:w="2126" w:type="dxa"/>
            <w:vAlign w:val="center"/>
            <w:hideMark/>
          </w:tcPr>
          <w:p w14:paraId="1DC48130"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17,76</w:t>
            </w:r>
          </w:p>
        </w:tc>
      </w:tr>
      <w:tr w:rsidR="00BC0EEE" w:rsidRPr="00BC0EEE" w14:paraId="6FD18385" w14:textId="77777777" w:rsidTr="00BC0EEE">
        <w:trPr>
          <w:trHeight w:val="348"/>
          <w:jc w:val="center"/>
        </w:trPr>
        <w:tc>
          <w:tcPr>
            <w:tcW w:w="2122" w:type="dxa"/>
            <w:vAlign w:val="center"/>
          </w:tcPr>
          <w:p w14:paraId="193203E1"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Khối lượng tăng thêm (tấn/năm)</w:t>
            </w:r>
          </w:p>
        </w:tc>
        <w:tc>
          <w:tcPr>
            <w:tcW w:w="1984" w:type="dxa"/>
            <w:vAlign w:val="center"/>
          </w:tcPr>
          <w:p w14:paraId="2ECB7E18"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w:t>
            </w:r>
          </w:p>
        </w:tc>
        <w:tc>
          <w:tcPr>
            <w:tcW w:w="2268" w:type="dxa"/>
            <w:vAlign w:val="bottom"/>
          </w:tcPr>
          <w:p w14:paraId="4FB130C4"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51.088</w:t>
            </w:r>
          </w:p>
        </w:tc>
        <w:tc>
          <w:tcPr>
            <w:tcW w:w="2126" w:type="dxa"/>
            <w:vAlign w:val="center"/>
          </w:tcPr>
          <w:p w14:paraId="5BA8A512" w14:textId="77777777" w:rsidR="00BC0EEE" w:rsidRPr="00BC0EEE" w:rsidRDefault="00BC0EEE" w:rsidP="00BC0EEE">
            <w:pPr>
              <w:spacing w:after="60" w:line="240" w:lineRule="auto"/>
              <w:jc w:val="center"/>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66.500</w:t>
            </w:r>
          </w:p>
        </w:tc>
      </w:tr>
    </w:tbl>
    <w:p w14:paraId="66AED45F" w14:textId="77777777" w:rsidR="00BC0EEE" w:rsidRDefault="00BC0EEE" w:rsidP="00BC0EEE">
      <w:pPr>
        <w:spacing w:before="60" w:after="60" w:line="276" w:lineRule="auto"/>
        <w:jc w:val="both"/>
      </w:pPr>
      <w:r>
        <w:t>Từ các số liệu ở Bảng 4 có thể thấy, khi thu hồi phần +0,75 mm hoặc +0,5 mm từ bùn thải và phối trộn với quặng tinh +1 mm, hàm lượng Al₂O₃ giảm không đáng kể (từ 49,55 % xuống 49,37–49,31 %), trong khi SiO₂ chỉ tăng từ 3,22 % lên 3,23–3,24 %. Những biến động nhỏ này vẫn nằm trong giới hạn chấp nhận được đối với công nghệ Bayer và không làm suy giảm đáng kể môđun silic của quặng tinh cấp cho nhà máy alumin. Ngược lại, thu hoạch quặng tinh toàn dây chuyền tăng từ 48,25 % lên 50,04–50,58 %, tương ứng với mức tăng 1,79–2,33 %. Nếu quy đổi theo công suất thiết kế, lượng quặng tinh tăng thêm hàng năm đạt 51.088–66.500 tấn/năm, con số này là một biểu hiện trực tiếp cho thấy tiềm năng hạ độ sâu tuyển tại Nhà máy Đắk Nông là rất đáng kể.</w:t>
      </w:r>
    </w:p>
    <w:p w14:paraId="5C163792" w14:textId="77777777" w:rsidR="00BC0EEE" w:rsidRDefault="00BC0EEE" w:rsidP="00BC0EEE">
      <w:pPr>
        <w:spacing w:before="60" w:after="60" w:line="276" w:lineRule="auto"/>
        <w:jc w:val="both"/>
      </w:pPr>
      <w:r>
        <w:t>Như vậy, xét trên góc độ vận hành, xưởng tuyển Đắk Nông hiện đang vận hành ổn định, đảm bảo các chỉ tiêu thiết kế ban đầu, song đồng thời cũng thể hiện rõ tiềm năng về tận thu cấp hạt + 0,5mm mà không làm suy giảm chất lượng quặng tinh.</w:t>
      </w:r>
    </w:p>
    <w:p w14:paraId="5B5ECDEE" w14:textId="77777777" w:rsidR="00BC0EEE" w:rsidRPr="00BC0EEE" w:rsidRDefault="00BC0EEE" w:rsidP="00BC0EEE">
      <w:pPr>
        <w:spacing w:before="60" w:after="60" w:line="276" w:lineRule="auto"/>
        <w:jc w:val="both"/>
        <w:rPr>
          <w:b/>
          <w:bCs/>
        </w:rPr>
      </w:pPr>
      <w:r w:rsidRPr="00BC0EEE">
        <w:rPr>
          <w:b/>
          <w:bCs/>
        </w:rPr>
        <w:t>3.1.3. Tiềm năng thu hồi cấp +0,25 mm</w:t>
      </w:r>
    </w:p>
    <w:p w14:paraId="5F0F00E5" w14:textId="77777777" w:rsidR="00BC0EEE" w:rsidRDefault="00BC0EEE" w:rsidP="00BC0EEE">
      <w:pPr>
        <w:spacing w:before="60" w:after="60" w:line="276" w:lineRule="auto"/>
        <w:jc w:val="both"/>
      </w:pPr>
      <w:r>
        <w:t>Theo số liệu bảng 3 cho thấy cấp hạt +0,25 mm trong bùn thải chiếm mức thu hoạch 6,65% với hàm lượng Al₂O₃ đạt 43,46% và SiO₂ 4,32%  môđun Si ~10). Nếu thu hồi toàn bộ cấp +0,25 mm, lượng quặng tinh thu thêm hàng năm có thể đạt khoảng 190.000 tấn/năm (tương đương trên 25% sản lượng quặng tinh thiết kế).</w:t>
      </w:r>
    </w:p>
    <w:p w14:paraId="5DA23E6F" w14:textId="77777777" w:rsidR="00BC0EEE" w:rsidRPr="00BC0EEE" w:rsidRDefault="00BC0EEE" w:rsidP="00BC0EEE">
      <w:pPr>
        <w:spacing w:before="60" w:after="60" w:line="276" w:lineRule="auto"/>
        <w:jc w:val="both"/>
        <w:rPr>
          <w:b/>
          <w:bCs/>
        </w:rPr>
      </w:pPr>
      <w:r w:rsidRPr="00BC0EEE">
        <w:rPr>
          <w:b/>
          <w:bCs/>
        </w:rPr>
        <w:t>3.2. Thảo luận và để xuất giải pháp công nghệ</w:t>
      </w:r>
    </w:p>
    <w:p w14:paraId="34422215" w14:textId="77777777" w:rsidR="00BC0EEE" w:rsidRPr="00BC0EEE" w:rsidRDefault="00BC0EEE" w:rsidP="00BC0EEE">
      <w:pPr>
        <w:spacing w:before="60" w:after="60" w:line="276" w:lineRule="auto"/>
        <w:jc w:val="both"/>
        <w:rPr>
          <w:b/>
          <w:bCs/>
        </w:rPr>
      </w:pPr>
      <w:r w:rsidRPr="00BC0EEE">
        <w:rPr>
          <w:b/>
          <w:bCs/>
        </w:rPr>
        <w:t xml:space="preserve">3.2.1. Cơ sở khoa học và ý nghĩa của việc hạ độ sâu tuyển </w:t>
      </w:r>
    </w:p>
    <w:p w14:paraId="68225FD6" w14:textId="77777777" w:rsidR="00BC0EEE" w:rsidRDefault="00BC0EEE" w:rsidP="00BC0EEE">
      <w:pPr>
        <w:spacing w:before="60" w:after="60" w:line="276" w:lineRule="auto"/>
        <w:jc w:val="both"/>
      </w:pPr>
      <w:r>
        <w:t>Kết quả thu được chứng minh rằng ranh giới 1 mm hiện tại đã bỏ qua một lượng lớn khoáng vật có ích. Quặng bauxit laterit gibbsit Đắk Nông chủ yếu chứa Gibbsit (~40-42%), trong khi tạp chất sét (kaolinit, goethit) phân bố mạnh ở cấp mịn –0,1 mm [3]; [10]; [13]. Sự xuất hiện của Al₂O₃ hàm lượng cao (44-46%) ở cấp +0,25mm là sản phẩm giải phóng của hạt gibbsit sau đập rửa. Sự dịch chuyển từ 49,55% xuống 49,31% Al₂O₃ và tăng nhẹ SiO₂ lên 3,24% (Bảng 4) hoàn toàn thỏa mãn các điều kiện kỹ thuật của công nghệ Bayer. Việc hạ độ sâu tuyển xuống 0,5 mm hoặc 0,25 mm là hoàn toàn có cơ sở khoa học và phản ánh đúng bản chất phân bố khoáng vật.</w:t>
      </w:r>
    </w:p>
    <w:p w14:paraId="09C37747" w14:textId="77777777" w:rsidR="00BC0EEE" w:rsidRPr="00BC0EEE" w:rsidRDefault="00BC0EEE" w:rsidP="00BC0EEE">
      <w:pPr>
        <w:spacing w:before="60" w:after="60" w:line="276" w:lineRule="auto"/>
        <w:jc w:val="both"/>
        <w:rPr>
          <w:b/>
          <w:bCs/>
        </w:rPr>
      </w:pPr>
      <w:r w:rsidRPr="00BC0EEE">
        <w:rPr>
          <w:b/>
          <w:bCs/>
        </w:rPr>
        <w:t xml:space="preserve">3.2.2. Phân tích và lựa chọn giải pháp công nghệ </w:t>
      </w:r>
    </w:p>
    <w:p w14:paraId="2AC38CCD" w14:textId="77777777" w:rsidR="00BC0EEE" w:rsidRDefault="00BC0EEE" w:rsidP="00BC0EEE">
      <w:pPr>
        <w:spacing w:before="60" w:after="60" w:line="276" w:lineRule="auto"/>
        <w:jc w:val="both"/>
      </w:pPr>
      <w:r>
        <w:t xml:space="preserve">Việc hạ độ sâu tuyển cho Nhà máy Tuyển rửa Đắk Nông phải dựa trên bốn nguyên tắc cơ bản: (1) Bảo toàn chất lượng quặng tinh: hàm lượng Al₂O₃ ≥ 49,5 %, SiO₂ ≤ 3,5 %, môđun A/S ≥ 12; (2) Can thiệp tối thiểu vào dây chuyền hiện tại, hạn chế yêu cầu mở rộng mặt bằng; (3) Thiết bị có sẵn trên thị trường, dễ bảo trì, tránh các hệ thống phức </w:t>
      </w:r>
      <w:r>
        <w:lastRenderedPageBreak/>
        <w:t>tạp đòi hỏi chuyên môn sâu và chi phí đầu tư lớn; và (4) Tăng thực thu Al₂O₃, giảm bùn thải và tăng hiệu quả kinh tế trực tiếp. Để tận thu tài nguyên, nghiên cứu đề xuất ba giải pháp công nghệ (Bảng 5):</w:t>
      </w:r>
    </w:p>
    <w:p w14:paraId="778376F0" w14:textId="77777777" w:rsidR="00BC0EEE" w:rsidRDefault="00BC0EEE" w:rsidP="00BC0EEE">
      <w:pPr>
        <w:pStyle w:val="ListParagraph"/>
        <w:numPr>
          <w:ilvl w:val="0"/>
          <w:numId w:val="1"/>
        </w:numPr>
        <w:spacing w:before="60" w:after="60" w:line="276" w:lineRule="auto"/>
        <w:jc w:val="both"/>
      </w:pPr>
      <w:r w:rsidRPr="00BC0EEE">
        <w:rPr>
          <w:i/>
          <w:iCs/>
        </w:rPr>
        <w:t>Giải pháp 1 (Sàng cấp hạt 0,5(0,75) mm):</w:t>
      </w:r>
      <w:r>
        <w:t xml:space="preserve"> Điều chỉnh độ hạt ranh giới máy rửa cánh vuông về 0,5 (0,75) mm. Thay lỗ lưới sàng rung hiện tại lên 2(3) mm, bổ sung một sàng rung 0,5(0,75) mm xử lý dòng dưới sàng chính.</w:t>
      </w:r>
    </w:p>
    <w:p w14:paraId="1745C211" w14:textId="77777777" w:rsidR="00BC0EEE" w:rsidRDefault="00BC0EEE" w:rsidP="00BC0EEE">
      <w:pPr>
        <w:pStyle w:val="ListParagraph"/>
        <w:numPr>
          <w:ilvl w:val="0"/>
          <w:numId w:val="1"/>
        </w:numPr>
        <w:spacing w:before="60" w:after="60" w:line="276" w:lineRule="auto"/>
        <w:jc w:val="both"/>
      </w:pPr>
      <w:r w:rsidRPr="00BC0EEE">
        <w:rPr>
          <w:i/>
          <w:iCs/>
        </w:rPr>
        <w:t>Giải pháp 2 (Xiclon 0,25 mm + sàng mịn):</w:t>
      </w:r>
      <w:r>
        <w:t xml:space="preserve"> Tách hai dòng bùn thải. Sử dụng xiclon (D50 = 0,25 mm) xử lý dòng dưới sàng rung để thu hồi cát xiclon làm quặng tinh.</w:t>
      </w:r>
    </w:p>
    <w:p w14:paraId="50612025" w14:textId="07099FD7" w:rsidR="00BC0EEE" w:rsidRDefault="00BC0EEE" w:rsidP="00BC0EEE">
      <w:pPr>
        <w:pStyle w:val="ListParagraph"/>
        <w:numPr>
          <w:ilvl w:val="0"/>
          <w:numId w:val="1"/>
        </w:numPr>
        <w:spacing w:before="60" w:after="60" w:line="276" w:lineRule="auto"/>
        <w:jc w:val="both"/>
      </w:pPr>
      <w:r w:rsidRPr="00BC0EEE">
        <w:rPr>
          <w:i/>
          <w:iCs/>
        </w:rPr>
        <w:t>Giải pháp 3 (Xiclon + tuyển nổi 0,1 mm):</w:t>
      </w:r>
      <w:r>
        <w:t xml:space="preserve"> Dùng xiclon 2 cấp (0,25 mm và 0,1 mm) và tuyển nổi ngược dòng -0,1 mm.</w:t>
      </w:r>
    </w:p>
    <w:p w14:paraId="391B1218" w14:textId="6A32BA2C" w:rsidR="00BC0EEE" w:rsidRPr="00BC0EEE" w:rsidRDefault="00BC0EEE" w:rsidP="00BC0EEE">
      <w:pPr>
        <w:spacing w:before="60" w:after="60" w:line="276" w:lineRule="auto"/>
        <w:jc w:val="center"/>
        <w:rPr>
          <w:b/>
          <w:bCs/>
        </w:rPr>
      </w:pPr>
      <w:r w:rsidRPr="00BC0EEE">
        <w:rPr>
          <w:b/>
          <w:bCs/>
        </w:rPr>
        <w:t>Bảng 5. So sánh ba giải pháp hạ độ sâu tuyển cho Nhà máy Đắk Nông</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989"/>
        <w:gridCol w:w="1985"/>
        <w:gridCol w:w="2268"/>
      </w:tblGrid>
      <w:tr w:rsidR="00BC0EEE" w:rsidRPr="00BC0EEE" w14:paraId="718E962B" w14:textId="77777777" w:rsidTr="008A2E66">
        <w:trPr>
          <w:trHeight w:val="684"/>
          <w:jc w:val="center"/>
        </w:trPr>
        <w:tc>
          <w:tcPr>
            <w:tcW w:w="2547" w:type="dxa"/>
            <w:vAlign w:val="center"/>
            <w:hideMark/>
          </w:tcPr>
          <w:p w14:paraId="716979B1"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Tiêu chí</w:t>
            </w:r>
          </w:p>
        </w:tc>
        <w:tc>
          <w:tcPr>
            <w:tcW w:w="1989" w:type="dxa"/>
            <w:vAlign w:val="center"/>
            <w:hideMark/>
          </w:tcPr>
          <w:p w14:paraId="766E65D9"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Giải pháp 1 (0,5–0,75 mm)</w:t>
            </w:r>
          </w:p>
        </w:tc>
        <w:tc>
          <w:tcPr>
            <w:tcW w:w="1985" w:type="dxa"/>
            <w:vAlign w:val="center"/>
            <w:hideMark/>
          </w:tcPr>
          <w:p w14:paraId="04461B10"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Giải pháp 2 (0,25 mm)</w:t>
            </w:r>
          </w:p>
        </w:tc>
        <w:tc>
          <w:tcPr>
            <w:tcW w:w="2268" w:type="dxa"/>
            <w:vAlign w:val="center"/>
            <w:hideMark/>
          </w:tcPr>
          <w:p w14:paraId="1088F794" w14:textId="77777777" w:rsidR="00BC0EEE" w:rsidRPr="00BC0EEE" w:rsidRDefault="00BC0EEE" w:rsidP="008A2E66">
            <w:pPr>
              <w:spacing w:after="60" w:line="240" w:lineRule="auto"/>
              <w:jc w:val="both"/>
              <w:rPr>
                <w:rFonts w:eastAsia="Times New Roman" w:cs="Times New Roman"/>
                <w:b/>
                <w:bCs/>
                <w:color w:val="000000"/>
                <w:kern w:val="0"/>
                <w:szCs w:val="26"/>
                <w14:ligatures w14:val="none"/>
              </w:rPr>
            </w:pPr>
            <w:r w:rsidRPr="00BC0EEE">
              <w:rPr>
                <w:rFonts w:eastAsia="Times New Roman" w:cs="Times New Roman"/>
                <w:b/>
                <w:bCs/>
                <w:color w:val="000000"/>
                <w:kern w:val="0"/>
                <w:szCs w:val="26"/>
                <w14:ligatures w14:val="none"/>
              </w:rPr>
              <w:t>Giải pháp 3 (0,1 mm + tuyển nổi)</w:t>
            </w:r>
          </w:p>
        </w:tc>
      </w:tr>
      <w:tr w:rsidR="00BC0EEE" w:rsidRPr="00BC0EEE" w14:paraId="4435472F" w14:textId="77777777" w:rsidTr="008A2E66">
        <w:trPr>
          <w:trHeight w:val="348"/>
          <w:jc w:val="center"/>
        </w:trPr>
        <w:tc>
          <w:tcPr>
            <w:tcW w:w="2547" w:type="dxa"/>
            <w:vAlign w:val="center"/>
            <w:hideMark/>
          </w:tcPr>
          <w:p w14:paraId="0623F2AD"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Thu hồi tăng</w:t>
            </w:r>
          </w:p>
        </w:tc>
        <w:tc>
          <w:tcPr>
            <w:tcW w:w="1989" w:type="dxa"/>
            <w:vAlign w:val="center"/>
            <w:hideMark/>
          </w:tcPr>
          <w:p w14:paraId="2C217E7C"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51.000–66.000 t/năm</w:t>
            </w:r>
          </w:p>
        </w:tc>
        <w:tc>
          <w:tcPr>
            <w:tcW w:w="1985" w:type="dxa"/>
            <w:vAlign w:val="center"/>
            <w:hideMark/>
          </w:tcPr>
          <w:p w14:paraId="1BFE3843"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~190.000 t/năm</w:t>
            </w:r>
          </w:p>
        </w:tc>
        <w:tc>
          <w:tcPr>
            <w:tcW w:w="2268" w:type="dxa"/>
            <w:vAlign w:val="center"/>
            <w:hideMark/>
          </w:tcPr>
          <w:p w14:paraId="02C11452"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&gt;400.000 t/năm</w:t>
            </w:r>
          </w:p>
        </w:tc>
      </w:tr>
      <w:tr w:rsidR="00BC0EEE" w:rsidRPr="00BC0EEE" w14:paraId="0AE224D2" w14:textId="77777777" w:rsidTr="008A2E66">
        <w:trPr>
          <w:trHeight w:val="348"/>
          <w:jc w:val="center"/>
        </w:trPr>
        <w:tc>
          <w:tcPr>
            <w:tcW w:w="2547" w:type="dxa"/>
            <w:vAlign w:val="center"/>
            <w:hideMark/>
          </w:tcPr>
          <w:p w14:paraId="4AF8B529"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Độ phức tạp</w:t>
            </w:r>
          </w:p>
        </w:tc>
        <w:tc>
          <w:tcPr>
            <w:tcW w:w="1989" w:type="dxa"/>
            <w:vAlign w:val="center"/>
            <w:hideMark/>
          </w:tcPr>
          <w:p w14:paraId="424AC3A1"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Thấp</w:t>
            </w:r>
          </w:p>
        </w:tc>
        <w:tc>
          <w:tcPr>
            <w:tcW w:w="1985" w:type="dxa"/>
            <w:vAlign w:val="center"/>
            <w:hideMark/>
          </w:tcPr>
          <w:p w14:paraId="493FDA3E"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Trung bình</w:t>
            </w:r>
          </w:p>
        </w:tc>
        <w:tc>
          <w:tcPr>
            <w:tcW w:w="2268" w:type="dxa"/>
            <w:vAlign w:val="center"/>
            <w:hideMark/>
          </w:tcPr>
          <w:p w14:paraId="31A465CD"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Cao</w:t>
            </w:r>
          </w:p>
        </w:tc>
      </w:tr>
      <w:tr w:rsidR="00BC0EEE" w:rsidRPr="00BC0EEE" w14:paraId="100EA726" w14:textId="77777777" w:rsidTr="008A2E66">
        <w:trPr>
          <w:trHeight w:val="348"/>
          <w:jc w:val="center"/>
        </w:trPr>
        <w:tc>
          <w:tcPr>
            <w:tcW w:w="2547" w:type="dxa"/>
            <w:vAlign w:val="center"/>
            <w:hideMark/>
          </w:tcPr>
          <w:p w14:paraId="20AB3A5F"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Thiết bị</w:t>
            </w:r>
          </w:p>
        </w:tc>
        <w:tc>
          <w:tcPr>
            <w:tcW w:w="1989" w:type="dxa"/>
            <w:vAlign w:val="center"/>
            <w:hideMark/>
          </w:tcPr>
          <w:p w14:paraId="63EB1D2F"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Sàng mịn</w:t>
            </w:r>
          </w:p>
        </w:tc>
        <w:tc>
          <w:tcPr>
            <w:tcW w:w="1985" w:type="dxa"/>
            <w:vAlign w:val="center"/>
            <w:hideMark/>
          </w:tcPr>
          <w:p w14:paraId="4DCB89A3"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Xiclon + sàng mịn</w:t>
            </w:r>
          </w:p>
        </w:tc>
        <w:tc>
          <w:tcPr>
            <w:tcW w:w="2268" w:type="dxa"/>
            <w:vAlign w:val="center"/>
            <w:hideMark/>
          </w:tcPr>
          <w:p w14:paraId="146C0BD5"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Xiclon + tuyển nổi</w:t>
            </w:r>
          </w:p>
        </w:tc>
      </w:tr>
      <w:tr w:rsidR="00BC0EEE" w:rsidRPr="00BC0EEE" w14:paraId="6E335526" w14:textId="77777777" w:rsidTr="008A2E66">
        <w:trPr>
          <w:trHeight w:val="348"/>
          <w:jc w:val="center"/>
        </w:trPr>
        <w:tc>
          <w:tcPr>
            <w:tcW w:w="2547" w:type="dxa"/>
            <w:vAlign w:val="center"/>
            <w:hideMark/>
          </w:tcPr>
          <w:p w14:paraId="1D2F1C32"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Ảnh hưởng chất lượng</w:t>
            </w:r>
          </w:p>
        </w:tc>
        <w:tc>
          <w:tcPr>
            <w:tcW w:w="1989" w:type="dxa"/>
            <w:vAlign w:val="center"/>
            <w:hideMark/>
          </w:tcPr>
          <w:p w14:paraId="33597744"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Không đáng kể</w:t>
            </w:r>
          </w:p>
        </w:tc>
        <w:tc>
          <w:tcPr>
            <w:tcW w:w="1985" w:type="dxa"/>
            <w:vAlign w:val="center"/>
            <w:hideMark/>
          </w:tcPr>
          <w:p w14:paraId="0A414206"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Không đáng kể</w:t>
            </w:r>
          </w:p>
        </w:tc>
        <w:tc>
          <w:tcPr>
            <w:tcW w:w="2268" w:type="dxa"/>
            <w:vAlign w:val="center"/>
            <w:hideMark/>
          </w:tcPr>
          <w:p w14:paraId="048E9D40"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Không đáng kể</w:t>
            </w:r>
          </w:p>
        </w:tc>
      </w:tr>
      <w:tr w:rsidR="00BC0EEE" w:rsidRPr="00BC0EEE" w14:paraId="19AC57A1" w14:textId="77777777" w:rsidTr="008A2E66">
        <w:trPr>
          <w:trHeight w:val="348"/>
          <w:jc w:val="center"/>
        </w:trPr>
        <w:tc>
          <w:tcPr>
            <w:tcW w:w="2547" w:type="dxa"/>
            <w:vAlign w:val="center"/>
            <w:hideMark/>
          </w:tcPr>
          <w:p w14:paraId="425675C9"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Yêu cầu mặt bằng</w:t>
            </w:r>
          </w:p>
        </w:tc>
        <w:tc>
          <w:tcPr>
            <w:tcW w:w="1989" w:type="dxa"/>
            <w:vAlign w:val="center"/>
            <w:hideMark/>
          </w:tcPr>
          <w:p w14:paraId="09F177EA"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Ít</w:t>
            </w:r>
          </w:p>
        </w:tc>
        <w:tc>
          <w:tcPr>
            <w:tcW w:w="1985" w:type="dxa"/>
            <w:vAlign w:val="center"/>
            <w:hideMark/>
          </w:tcPr>
          <w:p w14:paraId="0F9201F6"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Trung bình</w:t>
            </w:r>
          </w:p>
        </w:tc>
        <w:tc>
          <w:tcPr>
            <w:tcW w:w="2268" w:type="dxa"/>
            <w:vAlign w:val="center"/>
            <w:hideMark/>
          </w:tcPr>
          <w:p w14:paraId="6F61E573"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Cao</w:t>
            </w:r>
          </w:p>
        </w:tc>
      </w:tr>
      <w:tr w:rsidR="00BC0EEE" w:rsidRPr="00BC0EEE" w14:paraId="03085FC8" w14:textId="77777777" w:rsidTr="008A2E66">
        <w:trPr>
          <w:trHeight w:val="348"/>
          <w:jc w:val="center"/>
        </w:trPr>
        <w:tc>
          <w:tcPr>
            <w:tcW w:w="2547" w:type="dxa"/>
            <w:vAlign w:val="center"/>
            <w:hideMark/>
          </w:tcPr>
          <w:p w14:paraId="03AA6FDE"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Tính phù hợp hiện tại</w:t>
            </w:r>
          </w:p>
        </w:tc>
        <w:tc>
          <w:tcPr>
            <w:tcW w:w="1989" w:type="dxa"/>
            <w:vAlign w:val="center"/>
            <w:hideMark/>
          </w:tcPr>
          <w:p w14:paraId="3C9249DA"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Rất phù hợp</w:t>
            </w:r>
          </w:p>
        </w:tc>
        <w:tc>
          <w:tcPr>
            <w:tcW w:w="1985" w:type="dxa"/>
            <w:vAlign w:val="center"/>
            <w:hideMark/>
          </w:tcPr>
          <w:p w14:paraId="5327FE7F"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Phù hợp</w:t>
            </w:r>
          </w:p>
        </w:tc>
        <w:tc>
          <w:tcPr>
            <w:tcW w:w="2268" w:type="dxa"/>
            <w:vAlign w:val="center"/>
            <w:hideMark/>
          </w:tcPr>
          <w:p w14:paraId="405B20DC"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Dùng giai đoạn sau</w:t>
            </w:r>
          </w:p>
        </w:tc>
      </w:tr>
      <w:tr w:rsidR="00BC0EEE" w:rsidRPr="00BC0EEE" w14:paraId="13D4BD6C" w14:textId="77777777" w:rsidTr="008A2E66">
        <w:trPr>
          <w:trHeight w:val="348"/>
          <w:jc w:val="center"/>
        </w:trPr>
        <w:tc>
          <w:tcPr>
            <w:tcW w:w="2547" w:type="dxa"/>
            <w:vAlign w:val="center"/>
            <w:hideMark/>
          </w:tcPr>
          <w:p w14:paraId="734F368C"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Mức độ tiên tiến</w:t>
            </w:r>
          </w:p>
        </w:tc>
        <w:tc>
          <w:tcPr>
            <w:tcW w:w="1989" w:type="dxa"/>
            <w:vAlign w:val="center"/>
            <w:hideMark/>
          </w:tcPr>
          <w:p w14:paraId="40EC9039"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Trung bình</w:t>
            </w:r>
          </w:p>
        </w:tc>
        <w:tc>
          <w:tcPr>
            <w:tcW w:w="1985" w:type="dxa"/>
            <w:vAlign w:val="center"/>
            <w:hideMark/>
          </w:tcPr>
          <w:p w14:paraId="4E65B2BF"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Khá cao</w:t>
            </w:r>
          </w:p>
        </w:tc>
        <w:tc>
          <w:tcPr>
            <w:tcW w:w="2268" w:type="dxa"/>
            <w:vAlign w:val="center"/>
            <w:hideMark/>
          </w:tcPr>
          <w:p w14:paraId="2E8733A3" w14:textId="77777777" w:rsidR="00BC0EEE" w:rsidRPr="00BC0EEE" w:rsidRDefault="00BC0EEE" w:rsidP="008A2E66">
            <w:pPr>
              <w:spacing w:after="60" w:line="240" w:lineRule="auto"/>
              <w:jc w:val="both"/>
              <w:rPr>
                <w:rFonts w:eastAsia="Times New Roman" w:cs="Times New Roman"/>
                <w:color w:val="000000"/>
                <w:kern w:val="0"/>
                <w:szCs w:val="26"/>
                <w14:ligatures w14:val="none"/>
              </w:rPr>
            </w:pPr>
            <w:r w:rsidRPr="00BC0EEE">
              <w:rPr>
                <w:rFonts w:eastAsia="Times New Roman" w:cs="Times New Roman"/>
                <w:color w:val="000000"/>
                <w:kern w:val="0"/>
                <w:szCs w:val="26"/>
                <w14:ligatures w14:val="none"/>
              </w:rPr>
              <w:t>Cao nhất</w:t>
            </w:r>
          </w:p>
        </w:tc>
      </w:tr>
    </w:tbl>
    <w:p w14:paraId="549DECDD" w14:textId="77777777" w:rsidR="00BC0EEE" w:rsidRDefault="00BC0EEE" w:rsidP="00BC0EEE">
      <w:pPr>
        <w:spacing w:before="60" w:after="60" w:line="276" w:lineRule="auto"/>
        <w:jc w:val="both"/>
      </w:pPr>
      <w:r>
        <w:t>Khi so sánh các giải pháp đề xuất của chúng tôi với thực tiễn quốc tế như Nhà máy CBA tại Brazil đã hạ thành công độ sâu tuyển từ 1 mm xuống 0,06 mm bằng cách sử dụng xiclon khử bùn sét kết hợp với sàng rung tần số cao, giúp tăng đáng kể thực thu Al₂O₃ [3]. Tương tự, một số cơ sở vận hành ở Trung Quốc áp dụng công nghệ tuyển nổi ngược cho cấp hạt -0,2 mm [7]; 8]. Mặc dù Giải pháp 3 (Tuyển nổi) trong nghiên cứu này đã phản ánh những tiến bộ quốc tế và mang lại mức thực thu lý thuyết cao nhất, nhưng đòi hỏi vốn đầu tư lớn và chế độ thuốc tuyển phức tạp. Do đó, xét trên nhu cầu cấp bách hiện tại, yêu cầu can thiệp tối thiểu vào dây chuyền đang hoạt động và chi phí đầu tư thấp, thì Giải pháp 1 là phương án tối ưu nhất về mặt kinh tế - kỹ thuật cho giai đoạn phát triển hiện tại. Sơ đồ công nghệ đề xuất cho giải pháp 1 được trình bày ở hình 2 và gồm 05 thay đổi chính: (1) Điều chỉnh độ hạt ranh giới của máy rửa cánh vuông về cỡ hạt 0,5 mm; (2) tách riêng hai dòng bùn thải tràn máy rửa cánh vuông (nhiều sét, ít Al₂O₃) và dưới sàng rung rửa (giàu Al₂O₃, ít sét); (3) thay lưới sàng rung rửa chính (hiện nay) từ 1 mm lên 2–3 mm để giảm lượng nước theo quặng tinh và tăng tuổi thọ lưới; (4) Lắp thêm một sàng rung mịn lỗ lưới = 0,5(0,75) mm để sàng lại sản phẩm dưới sàng rung nhằm tận thu cấp +0,5 mm; và phối trộn quặng tinh +1 mm và quặng thu hồi +0,5 mm để tạo sản phẩm đồng nhất cấp cho nhà máy alumin. Giải pháp này tích hợp dễ dàng vào sơ đồ hiện tại trong khi vẫn thu hồi được phần lớn các hạt gibbsit mịn đã giải phóng.</w:t>
      </w:r>
    </w:p>
    <w:p w14:paraId="4994C74E" w14:textId="77777777" w:rsidR="00BC0EEE" w:rsidRDefault="00BC0EEE" w:rsidP="00BC0EEE">
      <w:pPr>
        <w:spacing w:before="60" w:after="60" w:line="276" w:lineRule="auto"/>
        <w:jc w:val="both"/>
      </w:pPr>
      <w:r>
        <w:lastRenderedPageBreak/>
        <w:t xml:space="preserve"> </w:t>
      </w:r>
    </w:p>
    <w:p w14:paraId="68BE5D95" w14:textId="661F516A" w:rsidR="00BC0EEE" w:rsidRDefault="00BC0EEE" w:rsidP="00BC0EEE">
      <w:pPr>
        <w:spacing w:before="60" w:after="60" w:line="276" w:lineRule="auto"/>
        <w:jc w:val="center"/>
      </w:pPr>
      <w:r w:rsidRPr="000A34AF">
        <w:rPr>
          <w:sz w:val="21"/>
          <w:szCs w:val="21"/>
        </w:rPr>
        <w:object w:dxaOrig="12924" w:dyaOrig="8076" w14:anchorId="3AA4FA33">
          <v:shape id="_x0000_i1026" type="#_x0000_t75" style="width:466.55pt;height:292.05pt" o:ole="">
            <v:imagedata r:id="rId7" o:title=""/>
          </v:shape>
          <o:OLEObject Type="Embed" ProgID="Visio.Drawing.15" ShapeID="_x0000_i1026" DrawAspect="Content" ObjectID="_1845722514" r:id="rId8"/>
        </w:object>
      </w:r>
    </w:p>
    <w:p w14:paraId="6BAEE030" w14:textId="33D76159" w:rsidR="00BC0EEE" w:rsidRPr="00BC0EEE" w:rsidRDefault="00BC0EEE" w:rsidP="00BC0EEE">
      <w:pPr>
        <w:spacing w:before="60" w:after="60" w:line="276" w:lineRule="auto"/>
        <w:jc w:val="both"/>
        <w:rPr>
          <w:b/>
          <w:bCs/>
        </w:rPr>
      </w:pPr>
      <w:r w:rsidRPr="00BC0EEE">
        <w:rPr>
          <w:b/>
          <w:bCs/>
        </w:rPr>
        <w:t>Hình 2. Sơ đồ công nghệ đề xuất hạ độ sâu tuyển đến 0,5 mm cho xưởng tuyển rửa Đắk Nông</w:t>
      </w:r>
    </w:p>
    <w:p w14:paraId="2EDB7E03" w14:textId="77777777" w:rsidR="00BC0EEE" w:rsidRPr="00BC0EEE" w:rsidRDefault="00BC0EEE" w:rsidP="00BC0EEE">
      <w:pPr>
        <w:spacing w:before="60" w:after="60" w:line="276" w:lineRule="auto"/>
        <w:jc w:val="both"/>
        <w:rPr>
          <w:b/>
          <w:bCs/>
        </w:rPr>
      </w:pPr>
      <w:r w:rsidRPr="00BC0EEE">
        <w:rPr>
          <w:b/>
          <w:bCs/>
        </w:rPr>
        <w:t xml:space="preserve">3.2.3. Tác động kinh tế – môi trường </w:t>
      </w:r>
    </w:p>
    <w:p w14:paraId="357DF436" w14:textId="77777777" w:rsidR="00BC0EEE" w:rsidRDefault="00BC0EEE" w:rsidP="00BC0EEE">
      <w:pPr>
        <w:spacing w:before="60" w:after="60" w:line="276" w:lineRule="auto"/>
        <w:jc w:val="both"/>
      </w:pPr>
      <w:r>
        <w:t>Việc ứng dụng giải pháp hạ độ sâu tuyển xuống 0,5 mm không chỉ giảm tải cho hồ thải quặng đuôi, tối ưu hóa nước tuần hoàn mà còn mang lại giá trị kinh tế lớn.</w:t>
      </w:r>
    </w:p>
    <w:p w14:paraId="3C0E7B28" w14:textId="77777777" w:rsidR="00BC0EEE" w:rsidRDefault="00BC0EEE" w:rsidP="00BC0EEE">
      <w:pPr>
        <w:spacing w:before="60" w:after="60" w:line="276" w:lineRule="auto"/>
        <w:jc w:val="both"/>
      </w:pPr>
      <w:r>
        <w:t>Với mức giá 250.000 VNĐ cho 1 tấn quặng tinh đủ tiêu chuẩn, việc thu hồi thêm 66.500 tấn/năm sẽ mang lại doanh thu trực tiếp tăng thêm khoảng 16,6 tỷ VNĐ/năm. Đáng chú ý hơn, tại điều kiện khai thác như ban đầu, trung bình 1 ha diện tích đất khai thác chỉ thu được khoảng 23.000 tấn quặng tinh. Do đó, thu hồi 66.500 tấn quặng tinh từ chính bùn thải đồng nghĩa với việc tiết kiệm được gần 2,9 ha đất nguyên khai mỗi năm. Với chi phí đền bù giải phóng mặt bằng hiện tại là 2,5 tỷ VNĐ/ha, giải pháp này giúp nhà máy tiết kiệm thêm hơn 7,2 tỷ VNĐ/năm chi phí đền bù. Tổng giá trị kinh tế mang lại đạt xấp xỉ 24 tỷ VNĐ/năm, trong khi chi phí cải tạo lưới sàng và lắp đặt máy sàng mịn là không đáng kể, cho phép thu hồi vốn đầu tư trong thời gian cực kỳ ngắn.</w:t>
      </w:r>
    </w:p>
    <w:p w14:paraId="12978892" w14:textId="77777777" w:rsidR="00BC0EEE" w:rsidRPr="00BC0EEE" w:rsidRDefault="00BC0EEE" w:rsidP="00BC0EEE">
      <w:pPr>
        <w:spacing w:before="60" w:after="60" w:line="276" w:lineRule="auto"/>
        <w:jc w:val="both"/>
        <w:rPr>
          <w:b/>
          <w:bCs/>
        </w:rPr>
      </w:pPr>
      <w:r w:rsidRPr="00BC0EEE">
        <w:rPr>
          <w:b/>
          <w:bCs/>
        </w:rPr>
        <w:t>4. KẾT LUẬN</w:t>
      </w:r>
    </w:p>
    <w:p w14:paraId="5A5F171D" w14:textId="77777777" w:rsidR="00BC0EEE" w:rsidRDefault="00BC0EEE" w:rsidP="00BC0EEE">
      <w:pPr>
        <w:spacing w:before="60" w:after="60" w:line="276" w:lineRule="auto"/>
        <w:jc w:val="both"/>
      </w:pPr>
      <w:r>
        <w:t>Khác với các nghiên cứu trong nước trước đây chỉ đánh giá định tính, nghiên cứu này đã xây dựng thành công bảng cân bằng khối lượng cho dòng bùn thải. Kết quả định lượng khẳng định độ sâu tuyển 1 mm truyền thống đã lạc hậu, không phản ánh đúng đặc tính giải phóng khoáng vật của quặng gibbsit Đắk Nông. Các cấp hạt mịn (+0,5 mm và +0,25 mm) bị thải bỏ thực chất vẫn chứa 43–44% Al₂O₃, hoàn toàn đủ tiêu chuẩn quặng tinh.</w:t>
      </w:r>
    </w:p>
    <w:p w14:paraId="0D0697B8" w14:textId="77777777" w:rsidR="00BC0EEE" w:rsidRDefault="00BC0EEE" w:rsidP="00BC0EEE">
      <w:pPr>
        <w:spacing w:before="60" w:after="60" w:line="276" w:lineRule="auto"/>
        <w:jc w:val="both"/>
      </w:pPr>
      <w:r>
        <w:lastRenderedPageBreak/>
        <w:t>Việc duy trì ranh giới 1 mm đang gây thất thoát tài nguyên: mất đi 2,33% (tương đương 66.500 tấn/năm) đối với cấp hạt +0,5 mm, và có thể lên tới 6,65% (hơn 190.000 tấn/năm) nếu tính đến cấp hạt +0,25 mm, ảnh hưởng trực tiếp đến an ninh tài nguyên quốc gia.</w:t>
      </w:r>
    </w:p>
    <w:p w14:paraId="50F71BB3" w14:textId="77777777" w:rsidR="00BC0EEE" w:rsidRDefault="00BC0EEE" w:rsidP="00BC0EEE">
      <w:pPr>
        <w:spacing w:before="60" w:after="60" w:line="276" w:lineRule="auto"/>
        <w:jc w:val="both"/>
      </w:pPr>
      <w:r>
        <w:t>Nghiên cứu đề xuất triển khai ngay Giải pháp 1 (bổ sung sàng rung mịn 0,5 mm, kết hợp thay lưới sàng chính lên 2–3 mm và giảm độ hạt ranh giới máy rửa cánh vuông). Bắt buộc phải tách riêng dòng bùn dưới sàng rung rửa để quá trình thu hồi quặng tinh hiệu quả nhất (tránh gom chung gây loãng quặng). Giải pháp này khả thi cao, nâng thu hoạch quặng tinh lên 50,58% mà hầu như không làm thay đổi chất lượng sản phẩm (Al₂O₃ ≈ 49,31%, SiO₂ ≈ 3,24%). Việc áp dụng mang lại hiệu quả "kép", gồm tăng doanh thu trực tiếp khoảng 16,6 tỷ VNĐ/năm, tiết kiệm khoảng 7,2 tỷ VNĐ/năm phí đền bù đất, đồng thời giảm tải đáng kể cho hồ thải quặng đuôi. Công nghệ này hoàn toàn đáp ứng yêu cầu tận thu tài nguyên, giảm chi phí của chuỗi sản xuất alumin và phù hợp với Quy hoạch 866/QĐ-TTg của Thủ tướng Chính phủ.</w:t>
      </w:r>
    </w:p>
    <w:p w14:paraId="5501F343" w14:textId="77777777" w:rsidR="00BC0EEE" w:rsidRDefault="00BC0EEE" w:rsidP="00BC0EEE">
      <w:pPr>
        <w:spacing w:before="60" w:after="60" w:line="276" w:lineRule="auto"/>
        <w:jc w:val="both"/>
      </w:pPr>
    </w:p>
    <w:p w14:paraId="53DB97D5" w14:textId="77777777" w:rsidR="00BC0EEE" w:rsidRDefault="00BC0EEE" w:rsidP="00BC0EEE">
      <w:pPr>
        <w:spacing w:before="60" w:after="60" w:line="276" w:lineRule="auto"/>
        <w:jc w:val="both"/>
      </w:pPr>
    </w:p>
    <w:sectPr w:rsidR="00BC0EEE" w:rsidSect="00BC0EE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A53A98"/>
    <w:multiLevelType w:val="hybridMultilevel"/>
    <w:tmpl w:val="4142055E"/>
    <w:lvl w:ilvl="0" w:tplc="93164D92">
      <w:start w:val="1"/>
      <w:numFmt w:val="bullet"/>
      <w:lvlText w:val=""/>
      <w:lvlJc w:val="left"/>
      <w:pPr>
        <w:ind w:left="340" w:firstLine="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727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EEE"/>
    <w:rsid w:val="00535BC8"/>
    <w:rsid w:val="008C2426"/>
    <w:rsid w:val="00BC0EEE"/>
    <w:rsid w:val="00D4014A"/>
    <w:rsid w:val="00D62F6E"/>
    <w:rsid w:val="00E775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EF392"/>
  <w15:chartTrackingRefBased/>
  <w15:docId w15:val="{A0148914-DA47-4178-AE25-C555B7295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0E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0E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0EE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0EE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C0EE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C0EE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C0EE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C0EE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C0EE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E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0E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0EEE"/>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0EE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C0EE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C0EE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C0EE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C0EE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C0EE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C0E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E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0EE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0EE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C0EEE"/>
    <w:pPr>
      <w:spacing w:before="160"/>
      <w:jc w:val="center"/>
    </w:pPr>
    <w:rPr>
      <w:i/>
      <w:iCs/>
      <w:color w:val="404040" w:themeColor="text1" w:themeTint="BF"/>
    </w:rPr>
  </w:style>
  <w:style w:type="character" w:customStyle="1" w:styleId="QuoteChar">
    <w:name w:val="Quote Char"/>
    <w:basedOn w:val="DefaultParagraphFont"/>
    <w:link w:val="Quote"/>
    <w:uiPriority w:val="29"/>
    <w:rsid w:val="00BC0EEE"/>
    <w:rPr>
      <w:i/>
      <w:iCs/>
      <w:color w:val="404040" w:themeColor="text1" w:themeTint="BF"/>
    </w:rPr>
  </w:style>
  <w:style w:type="paragraph" w:styleId="ListParagraph">
    <w:name w:val="List Paragraph"/>
    <w:basedOn w:val="Normal"/>
    <w:uiPriority w:val="34"/>
    <w:qFormat/>
    <w:rsid w:val="00BC0EEE"/>
    <w:pPr>
      <w:ind w:left="720"/>
      <w:contextualSpacing/>
    </w:pPr>
  </w:style>
  <w:style w:type="character" w:styleId="IntenseEmphasis">
    <w:name w:val="Intense Emphasis"/>
    <w:basedOn w:val="DefaultParagraphFont"/>
    <w:uiPriority w:val="21"/>
    <w:qFormat/>
    <w:rsid w:val="00BC0EEE"/>
    <w:rPr>
      <w:i/>
      <w:iCs/>
      <w:color w:val="0F4761" w:themeColor="accent1" w:themeShade="BF"/>
    </w:rPr>
  </w:style>
  <w:style w:type="paragraph" w:styleId="IntenseQuote">
    <w:name w:val="Intense Quote"/>
    <w:basedOn w:val="Normal"/>
    <w:next w:val="Normal"/>
    <w:link w:val="IntenseQuoteChar"/>
    <w:uiPriority w:val="30"/>
    <w:qFormat/>
    <w:rsid w:val="00BC0E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0EEE"/>
    <w:rPr>
      <w:i/>
      <w:iCs/>
      <w:color w:val="0F4761" w:themeColor="accent1" w:themeShade="BF"/>
    </w:rPr>
  </w:style>
  <w:style w:type="character" w:styleId="IntenseReference">
    <w:name w:val="Intense Reference"/>
    <w:basedOn w:val="DefaultParagraphFont"/>
    <w:uiPriority w:val="32"/>
    <w:qFormat/>
    <w:rsid w:val="00BC0EE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1.vsdx"/><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Visio_Drawing.vsdx"/><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3493</Words>
  <Characters>19915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Van Luan</dc:creator>
  <cp:keywords/>
  <dc:description/>
  <cp:lastModifiedBy>Pham Van Luan</cp:lastModifiedBy>
  <cp:revision>1</cp:revision>
  <dcterms:created xsi:type="dcterms:W3CDTF">2026-07-16T08:35:00Z</dcterms:created>
  <dcterms:modified xsi:type="dcterms:W3CDTF">2026-07-16T08:55:00Z</dcterms:modified>
</cp:coreProperties>
</file>